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60"/>
        <w:rPr/>
      </w:pPr>
      <w:r>
        <w:rPr>
          <w:rFonts w:eastAsia="Arial" w:cs="Arial"/>
          <w:b/>
          <w:bCs/>
          <w:color w:val="1F4E79"/>
          <w:sz w:val="32"/>
          <w:szCs w:val="32"/>
        </w:rPr>
        <w:t>Woodberry Down Community Organisation</w:t>
      </w:r>
    </w:p>
    <w:p>
      <w:pPr>
        <w:pStyle w:val="Normal"/>
        <w:spacing w:before="0" w:after="60"/>
        <w:rPr/>
      </w:pPr>
      <w:r>
        <w:rPr>
          <w:rFonts w:eastAsia="Arial" w:cs="Arial"/>
          <w:b/>
          <w:bCs/>
          <w:color w:val="2E75B6"/>
          <w:sz w:val="26"/>
          <w:szCs w:val="26"/>
        </w:rPr>
        <w:t>Finance Report to the Board</w:t>
      </w:r>
    </w:p>
    <w:p>
      <w:pPr>
        <w:pStyle w:val="Normal"/>
        <w:spacing w:before="0" w:after="180"/>
        <w:rPr/>
      </w:pPr>
      <w:r>
        <w:rPr>
          <w:rFonts w:eastAsia="Arial" w:cs="Arial"/>
          <w:color w:val="555555"/>
          <w:sz w:val="22"/>
          <w:szCs w:val="22"/>
        </w:rPr>
        <w:t>Year ending 31 March 2026</w:t>
      </w:r>
    </w:p>
    <w:p>
      <w:pPr>
        <w:pStyle w:val="Normal"/>
        <w:pBdr>
          <w:bottom w:val="single" w:sz="6" w:space="1" w:color="2E75B6"/>
        </w:pBdr>
        <w:rPr/>
      </w:pPr>
      <w:r>
        <w:rPr/>
      </w:r>
    </w:p>
    <w:p>
      <w:pPr>
        <w:pStyle w:val="Normal"/>
        <w:rPr/>
      </w:pPr>
      <w:r>
        <w:rPr/>
      </w:r>
    </w:p>
    <w:p>
      <w:pPr>
        <w:pStyle w:val="Normal"/>
        <w:pBdr>
          <w:bottom w:val="single" w:sz="2" w:space="1" w:color="2E75B6"/>
        </w:pBdr>
        <w:spacing w:before="240" w:after="120"/>
        <w:rPr/>
      </w:pPr>
      <w:r>
        <w:rPr>
          <w:rFonts w:eastAsia="Arial" w:cs="Arial"/>
          <w:b/>
          <w:bCs/>
          <w:color w:val="2E75B6"/>
          <w:sz w:val="24"/>
          <w:szCs w:val="24"/>
        </w:rPr>
        <w:t>1.  Expenditure against Budget</w:t>
      </w:r>
    </w:p>
    <w:p>
      <w:pPr>
        <w:pStyle w:val="Normal"/>
        <w:spacing w:before="0" w:after="100"/>
        <w:rPr/>
      </w:pPr>
      <w:r>
        <w:rPr>
          <w:rFonts w:eastAsia="Arial" w:cs="Arial"/>
          <w:i w:val="false"/>
          <w:iCs w:val="false"/>
          <w:color w:val="000000"/>
          <w:sz w:val="20"/>
          <w:szCs w:val="20"/>
        </w:rPr>
        <w:t xml:space="preserve">Budgeted and actual expenditure for the year to 31 March 2026. Items shown in </w:t>
      </w:r>
      <w:r>
        <w:rPr>
          <w:rFonts w:eastAsia="Arial" w:cs="Arial"/>
          <w:b/>
          <w:bCs/>
          <w:color w:val="C00000"/>
          <w:sz w:val="20"/>
          <w:szCs w:val="20"/>
        </w:rPr>
        <w:t>red</w:t>
      </w:r>
      <w:r>
        <w:rPr>
          <w:rFonts w:eastAsia="Arial" w:cs="Arial"/>
          <w:i w:val="false"/>
          <w:iCs w:val="false"/>
          <w:color w:val="000000"/>
          <w:sz w:val="20"/>
          <w:szCs w:val="20"/>
        </w:rPr>
        <w:t xml:space="preserve"> are those where actual expenditure exceeded budget. Items marked </w:t>
      </w:r>
      <w:r>
        <w:rPr>
          <w:rFonts w:eastAsia="Arial" w:cs="Arial"/>
          <w:b/>
          <w:bCs/>
          <w:color w:val="000000"/>
          <w:sz w:val="20"/>
          <w:szCs w:val="20"/>
        </w:rPr>
        <w:t>*</w:t>
      </w:r>
      <w:r>
        <w:rPr>
          <w:rFonts w:eastAsia="Arial" w:cs="Arial"/>
          <w:i w:val="false"/>
          <w:iCs w:val="false"/>
          <w:color w:val="000000"/>
          <w:sz w:val="20"/>
          <w:szCs w:val="20"/>
        </w:rPr>
        <w:t xml:space="preserve"> are explained in the notes below the table.</w:t>
      </w:r>
    </w:p>
    <w:p>
      <w:pPr>
        <w:pStyle w:val="Normal"/>
        <w:rPr/>
      </w:pPr>
      <w:r>
        <w:rPr/>
      </w:r>
    </w:p>
    <w:tbl>
      <w:tblPr>
        <w:tblW w:w="9300" w:type="dxa"/>
        <w:jc w:val="start"/>
        <w:tblInd w:w="0" w:type="dxa"/>
        <w:tblLayout w:type="fixed"/>
        <w:tblCellMar>
          <w:top w:w="60" w:type="dxa"/>
          <w:start w:w="100" w:type="dxa"/>
          <w:bottom w:w="60" w:type="dxa"/>
          <w:end w:w="100" w:type="dxa"/>
        </w:tblCellMar>
      </w:tblPr>
      <w:tblGrid>
        <w:gridCol w:w="4398"/>
        <w:gridCol w:w="1602"/>
        <w:gridCol w:w="1599"/>
        <w:gridCol w:w="1701"/>
      </w:tblGrid>
      <w:tr>
        <w:trPr>
          <w:tblHeader w:val="true"/>
        </w:trPr>
        <w:tc>
          <w:tcPr>
            <w:tcW w:w="4398"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Expenditure Item</w:t>
            </w:r>
          </w:p>
        </w:tc>
        <w:tc>
          <w:tcPr>
            <w:tcW w:w="1602"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Budget</w:t>
            </w:r>
          </w:p>
        </w:tc>
        <w:tc>
          <w:tcPr>
            <w:tcW w:w="1599"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Actual</w:t>
            </w:r>
          </w:p>
        </w:tc>
        <w:tc>
          <w:tcPr>
            <w:tcW w:w="1701"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Variance</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Bank Service Charge</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£75.00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£29.40</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£45.60</w:t>
            </w:r>
          </w:p>
        </w:tc>
      </w:tr>
      <w:tr>
        <w:trPr/>
        <w:tc>
          <w:tcPr>
            <w:tcW w:w="4398"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start"/>
              <w:rPr/>
            </w:pPr>
            <w:r>
              <w:rPr>
                <w:rFonts w:eastAsia="Arial" w:cs="Arial"/>
                <w:b w:val="false"/>
                <w:bCs w:val="false"/>
                <w:i w:val="false"/>
                <w:iCs w:val="false"/>
                <w:color w:val="000000"/>
                <w:sz w:val="18"/>
                <w:szCs w:val="18"/>
              </w:rPr>
              <w:t>Board Refreshments *</w:t>
            </w:r>
          </w:p>
        </w:tc>
        <w:tc>
          <w:tcPr>
            <w:tcW w:w="1602"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end"/>
              <w:rPr/>
            </w:pPr>
            <w:r>
              <w:rPr>
                <w:rFonts w:eastAsia="Arial" w:cs="Arial"/>
                <w:b w:val="false"/>
                <w:bCs w:val="false"/>
                <w:i w:val="false"/>
                <w:iCs w:val="false"/>
                <w:color w:val="000000"/>
                <w:sz w:val="18"/>
                <w:szCs w:val="18"/>
              </w:rPr>
              <w:t>£1,500.00</w:t>
            </w:r>
          </w:p>
        </w:tc>
        <w:tc>
          <w:tcPr>
            <w:tcW w:w="1599"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end"/>
              <w:rPr/>
            </w:pPr>
            <w:r>
              <w:rPr>
                <w:rFonts w:eastAsia="Arial" w:cs="Arial"/>
                <w:b w:val="false"/>
                <w:bCs w:val="false"/>
                <w:i w:val="false"/>
                <w:iCs w:val="false"/>
                <w:color w:val="000000"/>
                <w:sz w:val="18"/>
                <w:szCs w:val="18"/>
              </w:rPr>
              <w:t>£1,866.32</w:t>
            </w:r>
          </w:p>
        </w:tc>
        <w:tc>
          <w:tcPr>
            <w:tcW w:w="1701"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end"/>
              <w:rPr/>
            </w:pPr>
            <w:r>
              <w:rPr>
                <w:rFonts w:eastAsia="Arial" w:cs="Arial"/>
                <w:b/>
                <w:bCs/>
                <w:i w:val="false"/>
                <w:iCs w:val="false"/>
                <w:color w:val="C00000"/>
                <w:sz w:val="18"/>
                <w:szCs w:val="18"/>
              </w:rPr>
              <w:t>-£366.32</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Consultation / Census</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£500.00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£0.00</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£500.00</w:t>
            </w:r>
          </w:p>
        </w:tc>
      </w:tr>
      <w:tr>
        <w:trPr/>
        <w:tc>
          <w:tcPr>
            <w:tcW w:w="4398"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Child Minding</w:t>
            </w:r>
          </w:p>
        </w:tc>
        <w:tc>
          <w:tcPr>
            <w:tcW w:w="1602"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£200.00</w:t>
            </w:r>
          </w:p>
        </w:tc>
        <w:tc>
          <w:tcPr>
            <w:tcW w:w="15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£0.00</w:t>
            </w:r>
          </w:p>
        </w:tc>
        <w:tc>
          <w:tcPr>
            <w:tcW w:w="1701"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£200.00</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Contingency</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£750.00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£0.00</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£750.00</w:t>
            </w:r>
          </w:p>
        </w:tc>
      </w:tr>
      <w:tr>
        <w:trPr/>
        <w:tc>
          <w:tcPr>
            <w:tcW w:w="4398"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Internet</w:t>
            </w:r>
          </w:p>
        </w:tc>
        <w:tc>
          <w:tcPr>
            <w:tcW w:w="1602"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£850.00</w:t>
            </w:r>
          </w:p>
        </w:tc>
        <w:tc>
          <w:tcPr>
            <w:tcW w:w="15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£600.00</w:t>
            </w:r>
          </w:p>
        </w:tc>
        <w:tc>
          <w:tcPr>
            <w:tcW w:w="1701"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£250.00</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Miscellaneous Expenses</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£350.00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£0.00</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£350.00</w:t>
            </w:r>
          </w:p>
        </w:tc>
      </w:tr>
      <w:tr>
        <w:trPr/>
        <w:tc>
          <w:tcPr>
            <w:tcW w:w="4398"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Newsletter / Printing / Translation</w:t>
            </w:r>
          </w:p>
        </w:tc>
        <w:tc>
          <w:tcPr>
            <w:tcW w:w="1602"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£200.00</w:t>
            </w:r>
          </w:p>
        </w:tc>
        <w:tc>
          <w:tcPr>
            <w:tcW w:w="15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£0.00</w:t>
            </w:r>
          </w:p>
        </w:tc>
        <w:tc>
          <w:tcPr>
            <w:tcW w:w="1701"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£200.00</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Office Expenses</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£400.00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£284.99</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£115.01</w:t>
            </w:r>
          </w:p>
        </w:tc>
      </w:tr>
      <w:tr>
        <w:trPr/>
        <w:tc>
          <w:tcPr>
            <w:tcW w:w="4398"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Stationery</w:t>
            </w:r>
          </w:p>
        </w:tc>
        <w:tc>
          <w:tcPr>
            <w:tcW w:w="1602"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£100.00</w:t>
            </w:r>
          </w:p>
        </w:tc>
        <w:tc>
          <w:tcPr>
            <w:tcW w:w="15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£11.96</w:t>
            </w:r>
          </w:p>
        </w:tc>
        <w:tc>
          <w:tcPr>
            <w:tcW w:w="1701"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£88.04</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Training</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£500.00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£0.00</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£500.00</w:t>
            </w:r>
          </w:p>
        </w:tc>
      </w:tr>
      <w:tr>
        <w:trPr/>
        <w:tc>
          <w:tcPr>
            <w:tcW w:w="4398"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start"/>
              <w:rPr/>
            </w:pPr>
            <w:r>
              <w:rPr>
                <w:rFonts w:eastAsia="Arial" w:cs="Arial"/>
                <w:b w:val="false"/>
                <w:bCs w:val="false"/>
                <w:i w:val="false"/>
                <w:iCs w:val="false"/>
                <w:color w:val="000000"/>
                <w:sz w:val="18"/>
                <w:szCs w:val="18"/>
              </w:rPr>
              <w:t>Venue Hire *</w:t>
            </w:r>
          </w:p>
        </w:tc>
        <w:tc>
          <w:tcPr>
            <w:tcW w:w="1602"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end"/>
              <w:rPr/>
            </w:pPr>
            <w:r>
              <w:rPr>
                <w:rFonts w:eastAsia="Arial" w:cs="Arial"/>
                <w:b w:val="false"/>
                <w:bCs w:val="false"/>
                <w:i w:val="false"/>
                <w:iCs w:val="false"/>
                <w:color w:val="000000"/>
                <w:sz w:val="18"/>
                <w:szCs w:val="18"/>
              </w:rPr>
              <w:t>£2,000.00</w:t>
            </w:r>
          </w:p>
        </w:tc>
        <w:tc>
          <w:tcPr>
            <w:tcW w:w="1599"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end"/>
              <w:rPr/>
            </w:pPr>
            <w:r>
              <w:rPr>
                <w:rFonts w:eastAsia="Arial" w:cs="Arial"/>
                <w:b w:val="false"/>
                <w:bCs w:val="false"/>
                <w:i w:val="false"/>
                <w:iCs w:val="false"/>
                <w:color w:val="000000"/>
                <w:sz w:val="18"/>
                <w:szCs w:val="18"/>
              </w:rPr>
              <w:t>£2,670.00</w:t>
            </w:r>
          </w:p>
        </w:tc>
        <w:tc>
          <w:tcPr>
            <w:tcW w:w="1701" w:type="dxa"/>
            <w:tcBorders>
              <w:top w:val="single" w:sz="2" w:space="0" w:color="AAAAAA"/>
              <w:start w:val="single" w:sz="2" w:space="0" w:color="AAAAAA"/>
              <w:bottom w:val="single" w:sz="2" w:space="0" w:color="AAAAAA"/>
              <w:end w:val="single" w:sz="2" w:space="0" w:color="AAAAAA"/>
            </w:tcBorders>
            <w:shd w:fill="FCE4D6" w:val="clear"/>
            <w:vAlign w:val="center"/>
          </w:tcPr>
          <w:p>
            <w:pPr>
              <w:pStyle w:val="Normal"/>
              <w:jc w:val="end"/>
              <w:rPr/>
            </w:pPr>
            <w:r>
              <w:rPr>
                <w:rFonts w:eastAsia="Arial" w:cs="Arial"/>
                <w:b/>
                <w:bCs/>
                <w:i w:val="false"/>
                <w:iCs w:val="false"/>
                <w:color w:val="C00000"/>
                <w:sz w:val="18"/>
                <w:szCs w:val="18"/>
              </w:rPr>
              <w:t>-£670.00</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Wider Community Engagement *</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£1,000.00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£908.77</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£91.23</w:t>
            </w:r>
          </w:p>
        </w:tc>
      </w:tr>
      <w:tr>
        <w:trPr/>
        <w:tc>
          <w:tcPr>
            <w:tcW w:w="4398"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Insurance</w:t>
            </w:r>
          </w:p>
        </w:tc>
        <w:tc>
          <w:tcPr>
            <w:tcW w:w="1602"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£750.00</w:t>
            </w:r>
          </w:p>
        </w:tc>
        <w:tc>
          <w:tcPr>
            <w:tcW w:w="15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£659.29</w:t>
            </w:r>
          </w:p>
        </w:tc>
        <w:tc>
          <w:tcPr>
            <w:tcW w:w="1701"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£90.71</w:t>
            </w:r>
          </w:p>
        </w:tc>
      </w:tr>
      <w:tr>
        <w:trPr/>
        <w:tc>
          <w:tcPr>
            <w:tcW w:w="4398"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Website</w:t>
            </w:r>
          </w:p>
        </w:tc>
        <w:tc>
          <w:tcPr>
            <w:tcW w:w="16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£600.00</w:t>
            </w:r>
          </w:p>
        </w:tc>
        <w:tc>
          <w:tcPr>
            <w:tcW w:w="1599"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£76.62</w:t>
            </w:r>
          </w:p>
        </w:tc>
        <w:tc>
          <w:tcPr>
            <w:tcW w:w="1701"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£523.38</w:t>
            </w:r>
          </w:p>
        </w:tc>
      </w:tr>
      <w:tr>
        <w:trPr/>
        <w:tc>
          <w:tcPr>
            <w:tcW w:w="4398"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Total</w:t>
            </w:r>
          </w:p>
        </w:tc>
        <w:tc>
          <w:tcPr>
            <w:tcW w:w="1602"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end"/>
              <w:rPr/>
            </w:pPr>
            <w:r>
              <w:rPr>
                <w:rFonts w:eastAsia="Arial" w:cs="Arial"/>
                <w:b/>
                <w:bCs/>
                <w:i w:val="false"/>
                <w:iCs w:val="false"/>
                <w:color w:val="FFFFFF"/>
                <w:sz w:val="18"/>
                <w:szCs w:val="18"/>
              </w:rPr>
              <w:t>£9,775.00</w:t>
            </w:r>
          </w:p>
        </w:tc>
        <w:tc>
          <w:tcPr>
            <w:tcW w:w="1599"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end"/>
              <w:rPr/>
            </w:pPr>
            <w:r>
              <w:rPr>
                <w:rFonts w:eastAsia="Arial" w:cs="Arial"/>
                <w:b/>
                <w:bCs/>
                <w:i w:val="false"/>
                <w:iCs w:val="false"/>
                <w:color w:val="FFFFFF"/>
                <w:sz w:val="18"/>
                <w:szCs w:val="18"/>
              </w:rPr>
              <w:t>£7,107.35</w:t>
            </w:r>
          </w:p>
        </w:tc>
        <w:tc>
          <w:tcPr>
            <w:tcW w:w="1701"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end"/>
              <w:rPr/>
            </w:pPr>
            <w:r>
              <w:rPr>
                <w:rFonts w:eastAsia="Arial" w:cs="Arial"/>
                <w:b/>
                <w:bCs/>
                <w:i w:val="false"/>
                <w:iCs w:val="false"/>
                <w:color w:val="FFFFFF"/>
                <w:sz w:val="18"/>
                <w:szCs w:val="18"/>
              </w:rPr>
              <w:t>£2,667.65</w:t>
            </w:r>
          </w:p>
        </w:tc>
      </w:tr>
    </w:tbl>
    <w:p>
      <w:pPr>
        <w:pStyle w:val="Normal"/>
        <w:rPr/>
      </w:pPr>
      <w:r>
        <w:rPr/>
      </w:r>
    </w:p>
    <w:p>
      <w:pPr>
        <w:pStyle w:val="Normal"/>
        <w:pBdr>
          <w:bottom w:val="single" w:sz="2" w:space="1" w:color="CCCCCC"/>
        </w:pBdr>
        <w:spacing w:before="100" w:after="80"/>
        <w:rPr/>
      </w:pPr>
      <w:r>
        <w:rPr>
          <w:rFonts w:eastAsia="Arial" w:cs="Arial"/>
          <w:b/>
          <w:bCs/>
          <w:color w:val="000000"/>
          <w:sz w:val="20"/>
          <w:szCs w:val="20"/>
        </w:rPr>
        <w:t>Notes on variances</w:t>
      </w:r>
    </w:p>
    <w:p>
      <w:pPr>
        <w:pStyle w:val="Normal"/>
        <w:spacing w:before="0" w:after="120"/>
        <w:rPr/>
      </w:pPr>
      <w:r>
        <w:rPr>
          <w:rFonts w:eastAsia="Arial" w:cs="Arial"/>
          <w:b/>
          <w:bCs/>
          <w:color w:val="000000"/>
          <w:sz w:val="20"/>
          <w:szCs w:val="20"/>
        </w:rPr>
        <w:t xml:space="preserve">Board Refreshments * </w:t>
      </w:r>
      <w:r>
        <w:rPr>
          <w:rFonts w:eastAsia="Arial" w:cs="Arial"/>
          <w:i w:val="false"/>
          <w:iCs w:val="false"/>
          <w:color w:val="000000"/>
          <w:sz w:val="20"/>
          <w:szCs w:val="20"/>
        </w:rPr>
        <w:t>(budget £1,500; actual £1,866.32; apparent overspend £366.32). Of the actual spend, £525.00 relates to expenditure incurred in 2024/25 and paid in the current year. Excluding this prior year element, current year expenditure was £1,341.32, which is within budget.</w:t>
      </w:r>
    </w:p>
    <w:p>
      <w:pPr>
        <w:pStyle w:val="Normal"/>
        <w:spacing w:before="0" w:after="120"/>
        <w:rPr/>
      </w:pPr>
      <w:r>
        <w:rPr>
          <w:rFonts w:eastAsia="Arial" w:cs="Arial"/>
          <w:b/>
          <w:bCs/>
          <w:color w:val="000000"/>
          <w:sz w:val="20"/>
          <w:szCs w:val="20"/>
        </w:rPr>
        <w:t xml:space="preserve">Venue Hire * </w:t>
      </w:r>
      <w:r>
        <w:rPr>
          <w:rFonts w:eastAsia="Arial" w:cs="Arial"/>
          <w:i w:val="false"/>
          <w:iCs w:val="false"/>
          <w:color w:val="000000"/>
          <w:sz w:val="20"/>
          <w:szCs w:val="20"/>
        </w:rPr>
        <w:t>(budget £2,000; actual £2,670.00; overspend £670.00). This figure includes two elements carried over from the previous year: a cheque issued to MHDT in 2024/25 which was mislaid and has now been paid, and a number of invoices which were in dispute. All outstanding amounts have now been agreed and paid. The cleaning charge on each of seven invoices was reduced by £15.00 during the settlement process, resulting in a saving of £105.00 against the previously reported figure. Excluding all prior year elements, current year venue hire expenditure was within budget.</w:t>
      </w:r>
    </w:p>
    <w:p>
      <w:pPr>
        <w:pStyle w:val="Normal"/>
        <w:spacing w:before="0" w:after="80"/>
        <w:rPr/>
      </w:pPr>
      <w:r>
        <w:rPr>
          <w:rFonts w:eastAsia="Arial" w:cs="Arial"/>
          <w:b/>
          <w:bCs/>
          <w:color w:val="000000"/>
          <w:sz w:val="20"/>
          <w:szCs w:val="20"/>
        </w:rPr>
        <w:t xml:space="preserve">Wider Community Engagement * </w:t>
      </w:r>
      <w:r>
        <w:rPr>
          <w:rFonts w:eastAsia="Arial" w:cs="Arial"/>
          <w:i w:val="false"/>
          <w:iCs w:val="false"/>
          <w:color w:val="000000"/>
          <w:sz w:val="20"/>
          <w:szCs w:val="20"/>
        </w:rPr>
        <w:t>(budget £1,000; actual £908.77). The actual figure includes £872.38 representing expenditure funded by the unbudgeted Partners Grant received in May 2025. This grant was received specifically to support community engagement activity and has been fully spent for that purpose.</w:t>
      </w:r>
    </w:p>
    <w:p>
      <w:pPr>
        <w:pStyle w:val="Normal"/>
        <w:rPr/>
      </w:pPr>
      <w:r>
        <w:rPr/>
      </w:r>
    </w:p>
    <w:p>
      <w:pPr>
        <w:pStyle w:val="Normal"/>
        <w:pBdr>
          <w:bottom w:val="single" w:sz="6" w:space="1" w:color="2E75B6"/>
        </w:pBdr>
        <w:rPr/>
      </w:pPr>
      <w:r>
        <w:rPr/>
      </w:r>
    </w:p>
    <w:p>
      <w:pPr>
        <w:pStyle w:val="Normal"/>
        <w:rPr/>
      </w:pPr>
      <w:r>
        <w:rPr/>
      </w:r>
    </w:p>
    <w:p>
      <w:pPr>
        <w:pStyle w:val="Normal"/>
        <w:pBdr>
          <w:bottom w:val="single" w:sz="2" w:space="1" w:color="2E75B6"/>
        </w:pBdr>
        <w:spacing w:before="240" w:after="120"/>
        <w:rPr/>
      </w:pPr>
      <w:r>
        <w:rPr>
          <w:rFonts w:eastAsia="Arial" w:cs="Arial"/>
          <w:b/>
          <w:bCs/>
          <w:color w:val="2E75B6"/>
          <w:sz w:val="24"/>
          <w:szCs w:val="24"/>
        </w:rPr>
        <w:t>2.  Income</w:t>
      </w:r>
    </w:p>
    <w:p>
      <w:pPr>
        <w:pStyle w:val="Normal"/>
        <w:spacing w:before="0" w:after="100"/>
        <w:rPr/>
      </w:pPr>
      <w:r>
        <w:rPr>
          <w:rFonts w:eastAsia="Arial" w:cs="Arial"/>
          <w:sz w:val="20"/>
          <w:szCs w:val="20"/>
        </w:rPr>
        <w:t>WDCO receives grant income from the London Borough of Hackney, administered through the regeneration partnership. This year an additional unbudgeted Partners Grant was received from the regeneration partners. All grants are paid into the Community Account and transferred to the Business Account as required to meet expenditure.</w:t>
      </w:r>
    </w:p>
    <w:p>
      <w:pPr>
        <w:pStyle w:val="Normal"/>
        <w:rPr/>
      </w:pPr>
      <w:r>
        <w:rPr/>
      </w:r>
    </w:p>
    <w:tbl>
      <w:tblPr>
        <w:tblW w:w="8300" w:type="dxa"/>
        <w:jc w:val="start"/>
        <w:tblInd w:w="0" w:type="dxa"/>
        <w:tblLayout w:type="fixed"/>
        <w:tblCellMar>
          <w:top w:w="60" w:type="dxa"/>
          <w:start w:w="100" w:type="dxa"/>
          <w:bottom w:w="60" w:type="dxa"/>
          <w:end w:w="100" w:type="dxa"/>
        </w:tblCellMar>
      </w:tblPr>
      <w:tblGrid>
        <w:gridCol w:w="1699"/>
        <w:gridCol w:w="4799"/>
        <w:gridCol w:w="1802"/>
      </w:tblGrid>
      <w:tr>
        <w:trPr>
          <w:tblHeader w:val="true"/>
        </w:trPr>
        <w:tc>
          <w:tcPr>
            <w:tcW w:w="1699"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Date</w:t>
            </w:r>
          </w:p>
        </w:tc>
        <w:tc>
          <w:tcPr>
            <w:tcW w:w="4799"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Description</w:t>
            </w:r>
          </w:p>
        </w:tc>
        <w:tc>
          <w:tcPr>
            <w:tcW w:w="1802"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Amount</w:t>
            </w:r>
          </w:p>
        </w:tc>
      </w:tr>
      <w:tr>
        <w:trPr/>
        <w:tc>
          <w:tcPr>
            <w:tcW w:w="1699"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12 May 2025</w:t>
            </w:r>
          </w:p>
        </w:tc>
        <w:tc>
          <w:tcPr>
            <w:tcW w:w="4799"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Partners Grant (regeneration partners)</w:t>
            </w:r>
          </w:p>
        </w:tc>
        <w:tc>
          <w:tcPr>
            <w:tcW w:w="18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£872.38</w:t>
            </w:r>
          </w:p>
        </w:tc>
      </w:tr>
      <w:tr>
        <w:trPr/>
        <w:tc>
          <w:tcPr>
            <w:tcW w:w="16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19 Feb 2026</w:t>
            </w:r>
          </w:p>
        </w:tc>
        <w:tc>
          <w:tcPr>
            <w:tcW w:w="47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Grant — London Borough of Hackney</w:t>
            </w:r>
          </w:p>
        </w:tc>
        <w:tc>
          <w:tcPr>
            <w:tcW w:w="1802"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£3,238.11</w:t>
            </w:r>
          </w:p>
        </w:tc>
      </w:tr>
      <w:tr>
        <w:trPr/>
        <w:tc>
          <w:tcPr>
            <w:tcW w:w="1699"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19 Mar 2026</w:t>
            </w:r>
          </w:p>
        </w:tc>
        <w:tc>
          <w:tcPr>
            <w:tcW w:w="4799"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Grant — London Borough of Hackney</w:t>
            </w:r>
          </w:p>
        </w:tc>
        <w:tc>
          <w:tcPr>
            <w:tcW w:w="1802"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£1,079.37</w:t>
            </w:r>
          </w:p>
        </w:tc>
      </w:tr>
      <w:tr>
        <w:trPr/>
        <w:tc>
          <w:tcPr>
            <w:tcW w:w="16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Various</w:t>
            </w:r>
          </w:p>
        </w:tc>
        <w:tc>
          <w:tcPr>
            <w:tcW w:w="4799"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Savings interest — Community Account</w:t>
            </w:r>
          </w:p>
        </w:tc>
        <w:tc>
          <w:tcPr>
            <w:tcW w:w="1802"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£23.60</w:t>
            </w:r>
          </w:p>
        </w:tc>
      </w:tr>
      <w:tr>
        <w:trPr/>
        <w:tc>
          <w:tcPr>
            <w:tcW w:w="1699"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Total</w:t>
            </w:r>
          </w:p>
        </w:tc>
        <w:tc>
          <w:tcPr>
            <w:tcW w:w="4799"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
          </w:p>
        </w:tc>
        <w:tc>
          <w:tcPr>
            <w:tcW w:w="1802"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end"/>
              <w:rPr/>
            </w:pPr>
            <w:r>
              <w:rPr>
                <w:rFonts w:eastAsia="Arial" w:cs="Arial"/>
                <w:b/>
                <w:bCs/>
                <w:i w:val="false"/>
                <w:iCs w:val="false"/>
                <w:color w:val="FFFFFF"/>
                <w:sz w:val="18"/>
                <w:szCs w:val="18"/>
              </w:rPr>
              <w:t>£5,213.46</w:t>
            </w:r>
          </w:p>
        </w:tc>
      </w:tr>
    </w:tbl>
    <w:p>
      <w:pPr>
        <w:pStyle w:val="Normal"/>
        <w:rPr/>
      </w:pPr>
      <w:r>
        <w:rPr/>
      </w:r>
    </w:p>
    <w:p>
      <w:pPr>
        <w:pStyle w:val="Normal"/>
        <w:spacing w:before="0" w:after="100"/>
        <w:rPr/>
      </w:pPr>
      <w:r>
        <w:rPr>
          <w:rFonts w:eastAsia="Arial" w:cs="Arial"/>
          <w:b/>
          <w:bCs/>
          <w:color w:val="000000"/>
          <w:sz w:val="20"/>
          <w:szCs w:val="20"/>
        </w:rPr>
        <w:t xml:space="preserve">Note: </w:t>
      </w:r>
      <w:r>
        <w:rPr>
          <w:rFonts w:eastAsia="Arial" w:cs="Arial"/>
          <w:i w:val="false"/>
          <w:iCs w:val="false"/>
          <w:color w:val="000000"/>
          <w:sz w:val="20"/>
          <w:szCs w:val="20"/>
        </w:rPr>
        <w:t>The London Borough of Hackney paid its grant in two instalments this year: £3,238.11 in February 2026 and £1,079.37 in March 2026, both later than in previous years. The Partners Grant of £872.38 was not included in the original budget and has been fully spent on Wider Community Engagement activity.</w:t>
      </w:r>
    </w:p>
    <w:p>
      <w:pPr>
        <w:pStyle w:val="Normal"/>
        <w:rPr/>
      </w:pPr>
      <w:r>
        <w:rPr/>
      </w:r>
    </w:p>
    <w:p>
      <w:pPr>
        <w:pStyle w:val="Normal"/>
        <w:pBdr>
          <w:bottom w:val="single" w:sz="6" w:space="1" w:color="2E75B6"/>
        </w:pBdr>
        <w:rPr/>
      </w:pPr>
      <w:r>
        <w:rPr/>
      </w:r>
    </w:p>
    <w:p>
      <w:pPr>
        <w:pStyle w:val="Normal"/>
        <w:rPr/>
      </w:pPr>
      <w:r>
        <w:rPr/>
      </w:r>
    </w:p>
    <w:p>
      <w:pPr>
        <w:pStyle w:val="Normal"/>
        <w:pBdr>
          <w:bottom w:val="single" w:sz="2" w:space="1" w:color="2E75B6"/>
        </w:pBdr>
        <w:spacing w:before="240" w:after="120"/>
        <w:rPr/>
      </w:pPr>
      <w:r>
        <w:rPr>
          <w:rFonts w:eastAsia="Arial" w:cs="Arial"/>
          <w:b/>
          <w:bCs/>
          <w:color w:val="2E75B6"/>
          <w:sz w:val="24"/>
          <w:szCs w:val="24"/>
        </w:rPr>
        <w:t>3.  Account Reconciliation</w:t>
      </w:r>
    </w:p>
    <w:p>
      <w:pPr>
        <w:pStyle w:val="Normal"/>
        <w:spacing w:before="0" w:after="100"/>
        <w:rPr/>
      </w:pPr>
      <w:r>
        <w:rPr>
          <w:rFonts w:eastAsia="Arial" w:cs="Arial"/>
          <w:sz w:val="20"/>
          <w:szCs w:val="20"/>
        </w:rPr>
        <w:t>WDCO operates two bank accounts. The Community Account receives grant income and earns savings interest. Funds are transferred to the Business Account (the cheque account) as required to meet expenditure. Three transfers were made during the year.</w:t>
      </w:r>
    </w:p>
    <w:p>
      <w:pPr>
        <w:pStyle w:val="Normal"/>
        <w:rPr/>
      </w:pPr>
      <w:r>
        <w:rPr/>
      </w:r>
    </w:p>
    <w:tbl>
      <w:tblPr>
        <w:tblW w:w="9000" w:type="dxa"/>
        <w:jc w:val="start"/>
        <w:tblInd w:w="0" w:type="dxa"/>
        <w:tblLayout w:type="fixed"/>
        <w:tblCellMar>
          <w:top w:w="60" w:type="dxa"/>
          <w:start w:w="100" w:type="dxa"/>
          <w:bottom w:w="60" w:type="dxa"/>
          <w:end w:w="100" w:type="dxa"/>
        </w:tblCellMar>
      </w:tblPr>
      <w:tblGrid>
        <w:gridCol w:w="5000"/>
        <w:gridCol w:w="2000"/>
        <w:gridCol w:w="2000"/>
      </w:tblGrid>
      <w:tr>
        <w:trPr>
          <w:tblHeader w:val="true"/>
        </w:trPr>
        <w:tc>
          <w:tcPr>
            <w:tcW w:w="5000"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
          </w:p>
        </w:tc>
        <w:tc>
          <w:tcPr>
            <w:tcW w:w="2000"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Community Account</w:t>
            </w:r>
          </w:p>
        </w:tc>
        <w:tc>
          <w:tcPr>
            <w:tcW w:w="2000"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Business Account</w:t>
            </w:r>
          </w:p>
        </w:tc>
      </w:tr>
      <w:tr>
        <w:trPr/>
        <w:tc>
          <w:tcPr>
            <w:tcW w:w="5000"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bCs/>
                <w:i w:val="false"/>
                <w:iCs w:val="false"/>
                <w:color w:val="000000"/>
                <w:sz w:val="18"/>
                <w:szCs w:val="18"/>
              </w:rPr>
              <w:t>Opening balance — 1 April 2025</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bCs/>
                <w:i w:val="false"/>
                <w:iCs w:val="false"/>
                <w:color w:val="000000"/>
                <w:sz w:val="18"/>
                <w:szCs w:val="18"/>
              </w:rPr>
              <w:t>£1,629.68</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bCs/>
                <w:i w:val="false"/>
                <w:iCs w:val="false"/>
                <w:color w:val="000000"/>
                <w:sz w:val="18"/>
                <w:szCs w:val="18"/>
              </w:rPr>
              <w:t>£3,828.53</w:t>
            </w:r>
          </w:p>
        </w:tc>
      </w:tr>
      <w:tr>
        <w:trPr/>
        <w:tc>
          <w:tcPr>
            <w:tcW w:w="9000" w:type="dxa"/>
            <w:gridSpan w:val="3"/>
            <w:tcBorders>
              <w:top w:val="single" w:sz="2" w:space="0" w:color="AAAAAA"/>
              <w:start w:val="single" w:sz="2" w:space="0" w:color="AAAAAA"/>
              <w:bottom w:val="single" w:sz="2" w:space="0" w:color="AAAAAA"/>
              <w:end w:val="single" w:sz="2" w:space="0" w:color="AAAAAA"/>
            </w:tcBorders>
            <w:shd w:fill="E2EFDA" w:val="clear"/>
            <w:tcMar>
              <w:top w:w="40" w:type="dxa"/>
              <w:bottom w:w="40" w:type="dxa"/>
            </w:tcMar>
          </w:tcPr>
          <w:p>
            <w:pPr>
              <w:pStyle w:val="Normal"/>
              <w:rPr/>
            </w:pPr>
            <w:r>
              <w:rPr>
                <w:rFonts w:eastAsia="Arial" w:cs="Arial"/>
                <w:b/>
                <w:bCs/>
                <w:color w:val="375623"/>
                <w:sz w:val="17"/>
                <w:szCs w:val="17"/>
              </w:rPr>
              <w:t>Income received</w:t>
            </w:r>
          </w:p>
        </w:tc>
      </w:tr>
      <w:tr>
        <w:trPr/>
        <w:tc>
          <w:tcPr>
            <w:tcW w:w="5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Partners Grant (12 May 2025)</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£872.38</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
          </w:p>
        </w:tc>
      </w:tr>
      <w:tr>
        <w:trPr/>
        <w:tc>
          <w:tcPr>
            <w:tcW w:w="5000"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Grant — London Borough of Hackney (19 Feb 2026)</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£3,238.11</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
          </w:p>
        </w:tc>
      </w:tr>
      <w:tr>
        <w:trPr/>
        <w:tc>
          <w:tcPr>
            <w:tcW w:w="5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Grant — London Borough of Hackney (19 Mar 2026)</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£1,079.37</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
          </w:p>
        </w:tc>
      </w:tr>
      <w:tr>
        <w:trPr/>
        <w:tc>
          <w:tcPr>
            <w:tcW w:w="5000"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Savings interest</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£23.60</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
          </w:p>
        </w:tc>
      </w:tr>
      <w:tr>
        <w:trPr/>
        <w:tc>
          <w:tcPr>
            <w:tcW w:w="9000" w:type="dxa"/>
            <w:gridSpan w:val="3"/>
            <w:tcBorders>
              <w:top w:val="single" w:sz="2" w:space="0" w:color="AAAAAA"/>
              <w:start w:val="single" w:sz="2" w:space="0" w:color="AAAAAA"/>
              <w:bottom w:val="single" w:sz="2" w:space="0" w:color="AAAAAA"/>
              <w:end w:val="single" w:sz="2" w:space="0" w:color="AAAAAA"/>
            </w:tcBorders>
            <w:shd w:fill="E2EFDA" w:val="clear"/>
            <w:tcMar>
              <w:top w:w="40" w:type="dxa"/>
              <w:bottom w:w="40" w:type="dxa"/>
            </w:tcMar>
          </w:tcPr>
          <w:p>
            <w:pPr>
              <w:pStyle w:val="Normal"/>
              <w:rPr/>
            </w:pPr>
            <w:r>
              <w:rPr>
                <w:rFonts w:eastAsia="Arial" w:cs="Arial"/>
                <w:b/>
                <w:bCs/>
                <w:color w:val="375623"/>
                <w:sz w:val="17"/>
                <w:szCs w:val="17"/>
              </w:rPr>
              <w:t>Transfers between accounts</w:t>
            </w:r>
          </w:p>
        </w:tc>
      </w:tr>
      <w:tr>
        <w:trPr/>
        <w:tc>
          <w:tcPr>
            <w:tcW w:w="5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Transfer to Business Account (22 May 2025)</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-£873.38</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£873.38</w:t>
            </w:r>
          </w:p>
        </w:tc>
      </w:tr>
      <w:tr>
        <w:trPr/>
        <w:tc>
          <w:tcPr>
            <w:tcW w:w="5000"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Transfer to Business Account (29 Nov 2025)</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-£1,000.00</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£1,000.00</w:t>
            </w:r>
          </w:p>
        </w:tc>
      </w:tr>
      <w:tr>
        <w:trPr/>
        <w:tc>
          <w:tcPr>
            <w:tcW w:w="5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start"/>
              <w:rPr/>
            </w:pPr>
            <w:r>
              <w:rPr>
                <w:rFonts w:eastAsia="Arial" w:cs="Arial"/>
                <w:b w:val="false"/>
                <w:bCs w:val="false"/>
                <w:i w:val="false"/>
                <w:iCs w:val="false"/>
                <w:color w:val="000000"/>
                <w:sz w:val="18"/>
                <w:szCs w:val="18"/>
              </w:rPr>
              <w:t>Transfer to Business Account (12 Mar 2026)</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-£3,000.00</w:t>
            </w:r>
          </w:p>
        </w:tc>
        <w:tc>
          <w:tcPr>
            <w:tcW w:w="2000" w:type="dxa"/>
            <w:tcBorders>
              <w:top w:val="single" w:sz="2" w:space="0" w:color="AAAAAA"/>
              <w:start w:val="single" w:sz="2" w:space="0" w:color="AAAAAA"/>
              <w:bottom w:val="single" w:sz="2" w:space="0" w:color="AAAAAA"/>
              <w:end w:val="single" w:sz="2" w:space="0" w:color="AAAAAA"/>
            </w:tcBorders>
            <w:shd w:fill="DEEAF1" w:val="clear"/>
            <w:vAlign w:val="center"/>
          </w:tcPr>
          <w:p>
            <w:pPr>
              <w:pStyle w:val="Normal"/>
              <w:jc w:val="end"/>
              <w:rPr/>
            </w:pPr>
            <w:r>
              <w:rPr>
                <w:rFonts w:eastAsia="Arial" w:cs="Arial"/>
                <w:b w:val="false"/>
                <w:bCs w:val="false"/>
                <w:i w:val="false"/>
                <w:iCs w:val="false"/>
                <w:color w:val="000000"/>
                <w:sz w:val="18"/>
                <w:szCs w:val="18"/>
              </w:rPr>
              <w:t>£3,000.00</w:t>
            </w:r>
          </w:p>
        </w:tc>
      </w:tr>
      <w:tr>
        <w:trPr/>
        <w:tc>
          <w:tcPr>
            <w:tcW w:w="9000" w:type="dxa"/>
            <w:gridSpan w:val="3"/>
            <w:tcBorders>
              <w:top w:val="single" w:sz="2" w:space="0" w:color="AAAAAA"/>
              <w:start w:val="single" w:sz="2" w:space="0" w:color="AAAAAA"/>
              <w:bottom w:val="single" w:sz="2" w:space="0" w:color="AAAAAA"/>
              <w:end w:val="single" w:sz="2" w:space="0" w:color="AAAAAA"/>
            </w:tcBorders>
            <w:shd w:fill="E2EFDA" w:val="clear"/>
            <w:tcMar>
              <w:top w:w="40" w:type="dxa"/>
              <w:bottom w:w="40" w:type="dxa"/>
            </w:tcMar>
          </w:tcPr>
          <w:p>
            <w:pPr>
              <w:pStyle w:val="Normal"/>
              <w:rPr/>
            </w:pPr>
            <w:r>
              <w:rPr>
                <w:rFonts w:eastAsia="Arial" w:cs="Arial"/>
                <w:b/>
                <w:bCs/>
                <w:color w:val="375623"/>
                <w:sz w:val="17"/>
                <w:szCs w:val="17"/>
              </w:rPr>
              <w:t>Expenditure</w:t>
            </w:r>
          </w:p>
        </w:tc>
      </w:tr>
      <w:tr>
        <w:trPr/>
        <w:tc>
          <w:tcPr>
            <w:tcW w:w="5000" w:type="dxa"/>
            <w:tcBorders>
              <w:top w:val="single" w:sz="2" w:space="0" w:color="AAAAAA"/>
              <w:start w:val="single" w:sz="2" w:space="0" w:color="AAAAAA"/>
              <w:bottom w:val="single" w:sz="2" w:space="0" w:color="AAAAAA"/>
              <w:end w:val="single" w:sz="2" w:space="0" w:color="AAAAAA"/>
            </w:tcBorders>
            <w:vAlign w:val="center"/>
          </w:tcPr>
          <w:p>
            <w:pPr>
              <w:pStyle w:val="Normal"/>
              <w:jc w:val="start"/>
              <w:rPr/>
            </w:pPr>
            <w:r>
              <w:rPr>
                <w:rFonts w:eastAsia="Arial" w:cs="Arial"/>
                <w:b w:val="false"/>
                <w:bCs w:val="false"/>
                <w:i w:val="false"/>
                <w:iCs w:val="false"/>
                <w:color w:val="000000"/>
                <w:sz w:val="18"/>
                <w:szCs w:val="18"/>
              </w:rPr>
              <w:t>Total expenditure from Business Account</w:t>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
          </w:p>
        </w:tc>
        <w:tc>
          <w:tcPr>
            <w:tcW w:w="2000" w:type="dxa"/>
            <w:tcBorders>
              <w:top w:val="single" w:sz="2" w:space="0" w:color="AAAAAA"/>
              <w:start w:val="single" w:sz="2" w:space="0" w:color="AAAAAA"/>
              <w:bottom w:val="single" w:sz="2" w:space="0" w:color="AAAAAA"/>
              <w:end w:val="single" w:sz="2" w:space="0" w:color="AAAAAA"/>
            </w:tcBorders>
            <w:vAlign w:val="center"/>
          </w:tcPr>
          <w:p>
            <w:pPr>
              <w:pStyle w:val="Normal"/>
              <w:jc w:val="end"/>
              <w:rPr/>
            </w:pPr>
            <w:r>
              <w:rPr>
                <w:rFonts w:eastAsia="Arial" w:cs="Arial"/>
                <w:b w:val="false"/>
                <w:bCs w:val="false"/>
                <w:i w:val="false"/>
                <w:iCs w:val="false"/>
                <w:color w:val="000000"/>
                <w:sz w:val="18"/>
                <w:szCs w:val="18"/>
              </w:rPr>
              <w:t>-£7,107.35</w:t>
            </w:r>
          </w:p>
        </w:tc>
      </w:tr>
      <w:tr>
        <w:trPr/>
        <w:tc>
          <w:tcPr>
            <w:tcW w:w="5000"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start"/>
              <w:rPr/>
            </w:pPr>
            <w:r>
              <w:rPr>
                <w:rFonts w:eastAsia="Arial" w:cs="Arial"/>
                <w:b/>
                <w:bCs/>
                <w:i w:val="false"/>
                <w:iCs w:val="false"/>
                <w:color w:val="FFFFFF"/>
                <w:sz w:val="18"/>
                <w:szCs w:val="18"/>
              </w:rPr>
              <w:t>Closing balance — 31 March 2026</w:t>
            </w:r>
          </w:p>
        </w:tc>
        <w:tc>
          <w:tcPr>
            <w:tcW w:w="2000"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end"/>
              <w:rPr/>
            </w:pPr>
            <w:r>
              <w:rPr>
                <w:rFonts w:eastAsia="Arial" w:cs="Arial"/>
                <w:b/>
                <w:bCs/>
                <w:i w:val="false"/>
                <w:iCs w:val="false"/>
                <w:color w:val="FFFFFF"/>
                <w:sz w:val="18"/>
                <w:szCs w:val="18"/>
              </w:rPr>
              <w:t>£1,969.36</w:t>
            </w:r>
          </w:p>
        </w:tc>
        <w:tc>
          <w:tcPr>
            <w:tcW w:w="2000" w:type="dxa"/>
            <w:tcBorders>
              <w:top w:val="single" w:sz="2" w:space="0" w:color="AAAAAA"/>
              <w:start w:val="single" w:sz="2" w:space="0" w:color="AAAAAA"/>
              <w:bottom w:val="single" w:sz="2" w:space="0" w:color="AAAAAA"/>
              <w:end w:val="single" w:sz="2" w:space="0" w:color="AAAAAA"/>
            </w:tcBorders>
            <w:shd w:fill="1F4E79" w:val="clear"/>
            <w:vAlign w:val="center"/>
          </w:tcPr>
          <w:p>
            <w:pPr>
              <w:pStyle w:val="Normal"/>
              <w:jc w:val="end"/>
              <w:rPr/>
            </w:pPr>
            <w:r>
              <w:rPr>
                <w:rFonts w:eastAsia="Arial" w:cs="Arial"/>
                <w:b/>
                <w:bCs/>
                <w:i w:val="false"/>
                <w:iCs w:val="false"/>
                <w:color w:val="FFFFFF"/>
                <w:sz w:val="18"/>
                <w:szCs w:val="18"/>
              </w:rPr>
              <w:t>£1,594.56</w:t>
            </w:r>
          </w:p>
        </w:tc>
      </w:tr>
    </w:tbl>
    <w:p>
      <w:pPr>
        <w:pStyle w:val="Normal"/>
        <w:rPr/>
      </w:pPr>
      <w:r>
        <w:rPr/>
      </w:r>
    </w:p>
    <w:p>
      <w:pPr>
        <w:pStyle w:val="Normal"/>
        <w:spacing w:before="0" w:after="100"/>
        <w:rPr/>
      </w:pPr>
      <w:r>
        <w:rPr>
          <w:rFonts w:eastAsia="Arial" w:cs="Arial"/>
          <w:b/>
          <w:bCs/>
          <w:color w:val="000000"/>
          <w:sz w:val="20"/>
          <w:szCs w:val="20"/>
        </w:rPr>
        <w:t xml:space="preserve">Note: </w:t>
      </w:r>
      <w:r>
        <w:rPr>
          <w:rFonts w:eastAsia="Arial" w:cs="Arial"/>
          <w:i w:val="false"/>
          <w:iCs w:val="false"/>
          <w:color w:val="000000"/>
          <w:sz w:val="20"/>
          <w:szCs w:val="20"/>
        </w:rPr>
        <w:t>All venue hire invoices and the prior year cheque have been settled in full. There are no outstanding creditors as at 31 March 2026. The combined closing balance across both accounts is £3,563.92.</w:t>
      </w:r>
    </w:p>
    <w:p>
      <w:pPr>
        <w:pStyle w:val="Normal"/>
        <w:rPr/>
      </w:pPr>
      <w:r>
        <w:rPr/>
      </w:r>
    </w:p>
    <w:p>
      <w:pPr>
        <w:pStyle w:val="Normal"/>
        <w:jc w:val="end"/>
        <w:rPr>
          <w:rFonts w:eastAsia="Arial" w:cs="Arial"/>
          <w:i/>
          <w:iCs/>
          <w:color w:val="888888"/>
          <w:sz w:val="18"/>
          <w:szCs w:val="18"/>
        </w:rPr>
      </w:pPr>
      <w:r>
        <w:rPr>
          <w:rFonts w:eastAsia="Arial" w:cs="Arial"/>
          <w:i/>
          <w:iCs/>
          <w:color w:val="888888"/>
          <w:sz w:val="18"/>
          <w:szCs w:val="18"/>
        </w:rPr>
      </w:r>
    </w:p>
    <w:p>
      <w:pPr>
        <w:pStyle w:val="Normal"/>
        <w:jc w:val="start"/>
        <w:rPr>
          <w:i w:val="false"/>
          <w:iCs w:val="false"/>
          <w:color w:val="auto"/>
          <w:sz w:val="20"/>
          <w:szCs w:val="20"/>
        </w:rPr>
      </w:pPr>
      <w:r>
        <w:rPr>
          <w:rFonts w:eastAsia="Arial" w:cs="Arial"/>
          <w:i/>
          <w:iCs/>
          <w:color w:val="888888"/>
          <w:sz w:val="18"/>
          <w:szCs w:val="18"/>
        </w:rPr>
      </w:r>
    </w:p>
    <w:p>
      <w:pPr>
        <w:pStyle w:val="Normal"/>
        <w:jc w:val="start"/>
        <w:rPr>
          <w:rFonts w:eastAsia="Arial" w:cs="Arial"/>
          <w:i/>
          <w:iCs/>
          <w:color w:val="888888"/>
          <w:sz w:val="18"/>
          <w:szCs w:val="18"/>
        </w:rPr>
      </w:pPr>
      <w:r>
        <w:rPr>
          <w:rFonts w:eastAsia="Arial" w:cs="Arial"/>
          <w:i/>
          <w:iCs/>
          <w:color w:val="888888"/>
          <w:sz w:val="18"/>
          <w:szCs w:val="18"/>
        </w:rPr>
      </w:r>
    </w:p>
    <w:tbl>
      <w:tblPr>
        <w:tblW w:w="5000" w:type="pct"/>
        <w:jc w:val="start"/>
        <w:tblInd w:w="0" w:type="dxa"/>
        <w:tblLayout w:type="fixed"/>
        <w:tblCellMar>
          <w:top w:w="0" w:type="dxa"/>
          <w:start w:w="0" w:type="dxa"/>
          <w:bottom w:w="0" w:type="dxa"/>
          <w:end w:w="0" w:type="dxa"/>
        </w:tblCellMar>
      </w:tblPr>
      <w:tblGrid>
        <w:gridCol w:w="7824"/>
        <w:gridCol w:w="2282"/>
      </w:tblGrid>
      <w:tr>
        <w:trPr/>
        <w:tc>
          <w:tcPr>
            <w:tcW w:w="7824" w:type="dxa"/>
            <w:tcBorders>
              <w:bottom w:val="single" w:sz="6" w:space="0" w:color="00599D"/>
            </w:tcBorders>
            <w:shd w:fill="00599D" w:val="clear"/>
          </w:tcPr>
          <w:p>
            <w:pPr>
              <w:pStyle w:val="Normal"/>
              <w:jc w:val="center"/>
              <w:rPr>
                <w:rFonts w:eastAsia="Arial" w:cs="Arial"/>
                <w:i/>
                <w:iCs/>
                <w:color w:val="888888"/>
                <w:sz w:val="22"/>
                <w:szCs w:val="22"/>
              </w:rPr>
            </w:pPr>
            <w:r>
              <w:rPr>
                <w:rFonts w:eastAsia="Arial" w:cs="Arial"/>
                <w:i w:val="false"/>
                <w:iCs w:val="false"/>
                <w:color w:val="auto"/>
                <w:sz w:val="22"/>
                <w:szCs w:val="22"/>
              </w:rPr>
              <w:t>Grant application to the London Borough of Hackney.</w:t>
            </w:r>
          </w:p>
        </w:tc>
        <w:tc>
          <w:tcPr>
            <w:tcW w:w="2282" w:type="dxa"/>
            <w:tcBorders>
              <w:bottom w:val="single" w:sz="6" w:space="0" w:color="00599D"/>
            </w:tcBorders>
            <w:shd w:fill="00599D" w:val="clear"/>
          </w:tcPr>
          <w:p>
            <w:pPr>
              <w:pStyle w:val="TableContents"/>
              <w:jc w:val="start"/>
              <w:rPr>
                <w:rFonts w:ascii="Liberation Sans" w:hAnsi="Liberation Sans"/>
                <w:b/>
                <w:bCs/>
                <w:i w:val="false"/>
                <w:iCs w:val="false"/>
                <w:strike w:val="false"/>
                <w:dstrike w:val="false"/>
                <w:outline w:val="false"/>
                <w:shadow w:val="false"/>
                <w:color w:val="FFFFFF"/>
                <w:sz w:val="24"/>
                <w:szCs w:val="24"/>
                <w:u w:val="none"/>
              </w:rPr>
            </w:pPr>
            <w:r>
              <w:rPr>
                <w:rFonts w:ascii="Liberation Sans" w:hAnsi="Liberation Sans"/>
                <w:b/>
                <w:bCs/>
                <w:i w:val="false"/>
                <w:iCs w:val="false"/>
                <w:strike w:val="false"/>
                <w:dstrike w:val="false"/>
                <w:outline w:val="false"/>
                <w:shadow w:val="false"/>
                <w:color w:val="FFFFFF"/>
                <w:sz w:val="24"/>
                <w:szCs w:val="24"/>
                <w:u w:val="none"/>
              </w:rPr>
            </w:r>
          </w:p>
        </w:tc>
      </w:tr>
      <w:tr>
        <w:trPr/>
        <w:tc>
          <w:tcPr>
            <w:tcW w:w="7824" w:type="dxa"/>
            <w:tcBorders>
              <w:start w:val="single" w:sz="6" w:space="0" w:color="00599D"/>
            </w:tcBorders>
          </w:tcPr>
          <w:p>
            <w:pPr>
              <w:pStyle w:val="Normal"/>
              <w:jc w:val="start"/>
              <w:rPr>
                <w:rFonts w:ascii="Liberation Sans" w:hAnsi="Liberation Sans" w:eastAsia="Arial" w:cs="Arial"/>
                <w:b w:val="false"/>
                <w:bCs w:val="false"/>
                <w:i w:val="false"/>
                <w:iCs w:val="false"/>
                <w:strike w:val="false"/>
                <w:dstrike w:val="false"/>
                <w:outline w:val="false"/>
                <w:shadow w:val="false"/>
                <w:color w:val="000000"/>
                <w:sz w:val="24"/>
                <w:szCs w:val="24"/>
                <w:u w:val="none"/>
              </w:rPr>
            </w:pPr>
            <w:r>
              <w:rPr>
                <w:rFonts w:eastAsia="Arial" w:cs="Arial" w:ascii="Liberation Sans" w:hAnsi="Liberation Sans"/>
                <w:b w:val="false"/>
                <w:bCs w:val="false"/>
                <w:i w:val="false"/>
                <w:iCs w:val="false"/>
                <w:strike w:val="false"/>
                <w:dstrike w:val="false"/>
                <w:outline w:val="false"/>
                <w:shadow w:val="false"/>
                <w:color w:val="000000"/>
                <w:sz w:val="24"/>
                <w:szCs w:val="24"/>
                <w:u w:val="none"/>
              </w:rPr>
              <w:t>Balances brought forward.</w:t>
            </w:r>
          </w:p>
        </w:tc>
        <w:tc>
          <w:tcPr>
            <w:tcW w:w="2282" w:type="dxa"/>
            <w:tcBorders>
              <w:end w:val="single" w:sz="6" w:space="0" w:color="00599D"/>
            </w:tcBorders>
          </w:tcPr>
          <w:p>
            <w:pPr>
              <w:pStyle w:val="TableContents"/>
              <w:jc w:val="end"/>
              <w:rPr>
                <w:rFonts w:ascii="Liberation Sans" w:hAnsi="Liberation Sans"/>
                <w:b w:val="false"/>
                <w:bCs w:val="false"/>
                <w:i w:val="false"/>
                <w:iCs w:val="false"/>
                <w:strike w:val="false"/>
                <w:dstrike w:val="false"/>
                <w:outline w:val="false"/>
                <w:shadow w:val="false"/>
                <w:color w:val="000000"/>
                <w:sz w:val="24"/>
                <w:szCs w:val="24"/>
                <w:u w:val="none"/>
              </w:rPr>
            </w:pPr>
            <w:r>
              <w:rPr>
                <w:rFonts w:ascii="Liberation Sans" w:hAnsi="Liberation Sans"/>
                <w:b w:val="false"/>
                <w:bCs w:val="false"/>
                <w:i w:val="false"/>
                <w:iCs w:val="false"/>
                <w:strike w:val="false"/>
                <w:dstrike w:val="false"/>
                <w:outline w:val="false"/>
                <w:shadow w:val="false"/>
                <w:color w:val="000000"/>
                <w:sz w:val="24"/>
                <w:szCs w:val="24"/>
                <w:u w:val="none"/>
              </w:rPr>
              <w:t>£3,563.92</w:t>
            </w:r>
          </w:p>
        </w:tc>
      </w:tr>
      <w:tr>
        <w:trPr/>
        <w:tc>
          <w:tcPr>
            <w:tcW w:w="7824" w:type="dxa"/>
            <w:tcBorders>
              <w:start w:val="single" w:sz="6" w:space="0" w:color="00599D"/>
            </w:tcBorders>
            <w:shd w:fill="DDDDDD" w:val="clear"/>
          </w:tcPr>
          <w:p>
            <w:pPr>
              <w:pStyle w:val="Normal"/>
              <w:jc w:val="start"/>
              <w:rPr>
                <w:rFonts w:ascii="Liberation Sans" w:hAnsi="Liberation Sans" w:eastAsia="Arial" w:cs="Arial"/>
                <w:b w:val="false"/>
                <w:bCs w:val="false"/>
                <w:i w:val="false"/>
                <w:iCs w:val="false"/>
                <w:strike w:val="false"/>
                <w:dstrike w:val="false"/>
                <w:outline w:val="false"/>
                <w:shadow w:val="false"/>
                <w:color w:val="000000"/>
                <w:sz w:val="24"/>
                <w:szCs w:val="24"/>
                <w:u w:val="none"/>
              </w:rPr>
            </w:pPr>
            <w:r>
              <w:rPr>
                <w:rFonts w:eastAsia="Arial" w:cs="Arial" w:ascii="Liberation Sans" w:hAnsi="Liberation Sans"/>
                <w:b w:val="false"/>
                <w:bCs w:val="false"/>
                <w:i w:val="false"/>
                <w:iCs w:val="false"/>
                <w:strike w:val="false"/>
                <w:dstrike w:val="false"/>
                <w:outline w:val="false"/>
                <w:shadow w:val="false"/>
                <w:color w:val="000000"/>
                <w:sz w:val="24"/>
                <w:szCs w:val="24"/>
                <w:u w:val="none"/>
              </w:rPr>
              <w:t xml:space="preserve">Predictable Expenditure 2026-27 </w:t>
            </w:r>
          </w:p>
        </w:tc>
        <w:tc>
          <w:tcPr>
            <w:tcW w:w="2282" w:type="dxa"/>
            <w:tcBorders>
              <w:end w:val="single" w:sz="6" w:space="0" w:color="00599D"/>
            </w:tcBorders>
            <w:shd w:fill="DDDDDD" w:val="clear"/>
          </w:tcPr>
          <w:p>
            <w:pPr>
              <w:pStyle w:val="TableContents"/>
              <w:jc w:val="end"/>
              <w:rPr>
                <w:rFonts w:ascii="Liberation Sans" w:hAnsi="Liberation Sans"/>
                <w:b w:val="false"/>
                <w:bCs w:val="false"/>
                <w:i w:val="false"/>
                <w:iCs w:val="false"/>
                <w:strike w:val="false"/>
                <w:dstrike w:val="false"/>
                <w:outline w:val="false"/>
                <w:shadow w:val="false"/>
                <w:color w:val="000000"/>
                <w:sz w:val="24"/>
                <w:szCs w:val="24"/>
                <w:u w:val="none"/>
              </w:rPr>
            </w:pPr>
            <w:r>
              <w:rPr>
                <w:rFonts w:ascii="Liberation Sans" w:hAnsi="Liberation Sans"/>
                <w:b w:val="false"/>
                <w:bCs w:val="false"/>
                <w:i w:val="false"/>
                <w:iCs w:val="false"/>
                <w:strike w:val="false"/>
                <w:dstrike w:val="false"/>
                <w:outline w:val="false"/>
                <w:shadow w:val="false"/>
                <w:color w:val="000000"/>
                <w:sz w:val="24"/>
                <w:szCs w:val="24"/>
                <w:u w:val="none"/>
              </w:rPr>
              <w:t>£11,468.00</w:t>
            </w:r>
          </w:p>
        </w:tc>
      </w:tr>
      <w:tr>
        <w:trPr/>
        <w:tc>
          <w:tcPr>
            <w:tcW w:w="7824" w:type="dxa"/>
            <w:tcBorders>
              <w:start w:val="single" w:sz="6" w:space="0" w:color="00599D"/>
            </w:tcBorders>
          </w:tcPr>
          <w:p>
            <w:pPr>
              <w:pStyle w:val="Normal"/>
              <w:jc w:val="start"/>
              <w:rPr>
                <w:rFonts w:ascii="Liberation Sans" w:hAnsi="Liberation Sans" w:eastAsia="Arial" w:cs="Arial"/>
                <w:b w:val="false"/>
                <w:bCs w:val="false"/>
                <w:i w:val="false"/>
                <w:iCs w:val="false"/>
                <w:strike w:val="false"/>
                <w:dstrike w:val="false"/>
                <w:outline w:val="false"/>
                <w:shadow w:val="false"/>
                <w:color w:val="000000"/>
                <w:sz w:val="24"/>
                <w:szCs w:val="24"/>
                <w:u w:val="none"/>
              </w:rPr>
            </w:pPr>
            <w:r>
              <w:rPr>
                <w:rFonts w:eastAsia="Arial" w:cs="Arial" w:ascii="Liberation Sans" w:hAnsi="Liberation Sans"/>
                <w:b w:val="false"/>
                <w:bCs w:val="false"/>
                <w:i w:val="false"/>
                <w:iCs w:val="false"/>
                <w:strike w:val="false"/>
                <w:dstrike w:val="false"/>
                <w:outline w:val="false"/>
                <w:shadow w:val="false"/>
                <w:color w:val="000000"/>
                <w:sz w:val="24"/>
                <w:szCs w:val="24"/>
                <w:u w:val="none"/>
              </w:rPr>
              <w:t xml:space="preserve">Total grant required. </w:t>
            </w:r>
          </w:p>
        </w:tc>
        <w:tc>
          <w:tcPr>
            <w:tcW w:w="2282" w:type="dxa"/>
            <w:tcBorders>
              <w:end w:val="single" w:sz="6" w:space="0" w:color="00599D"/>
            </w:tcBorders>
          </w:tcPr>
          <w:p>
            <w:pPr>
              <w:pStyle w:val="TableContents"/>
              <w:jc w:val="end"/>
              <w:rPr>
                <w:rFonts w:ascii="Liberation Sans" w:hAnsi="Liberation Sans"/>
                <w:b/>
                <w:bCs/>
                <w:i w:val="false"/>
                <w:iCs w:val="false"/>
                <w:strike w:val="false"/>
                <w:dstrike w:val="false"/>
                <w:outline w:val="false"/>
                <w:shadow w:val="false"/>
                <w:color w:val="000000"/>
                <w:sz w:val="24"/>
                <w:szCs w:val="24"/>
                <w:u w:val="none"/>
              </w:rPr>
            </w:pPr>
            <w:r>
              <w:rPr>
                <w:rFonts w:ascii="Liberation Sans" w:hAnsi="Liberation Sans"/>
                <w:b/>
                <w:bCs/>
                <w:i w:val="false"/>
                <w:iCs w:val="false"/>
                <w:strike w:val="false"/>
                <w:dstrike w:val="false"/>
                <w:outline w:val="false"/>
                <w:shadow w:val="false"/>
                <w:color w:val="000000"/>
                <w:sz w:val="24"/>
                <w:szCs w:val="24"/>
                <w:u w:val="none"/>
              </w:rPr>
              <w:t>£7,904.08</w:t>
            </w:r>
          </w:p>
        </w:tc>
      </w:tr>
      <w:tr>
        <w:trPr/>
        <w:tc>
          <w:tcPr>
            <w:tcW w:w="7824" w:type="dxa"/>
            <w:tcBorders>
              <w:start w:val="single" w:sz="6" w:space="0" w:color="00599D"/>
            </w:tcBorders>
            <w:shd w:fill="DDDDDD" w:val="clear"/>
          </w:tcPr>
          <w:p>
            <w:pPr>
              <w:pStyle w:val="Normal"/>
              <w:jc w:val="start"/>
              <w:rPr>
                <w:rFonts w:ascii="Liberation Sans" w:hAnsi="Liberation Sans" w:eastAsia="Arial" w:cs="Arial"/>
                <w:b w:val="false"/>
                <w:bCs w:val="false"/>
                <w:i w:val="false"/>
                <w:iCs w:val="false"/>
                <w:strike w:val="false"/>
                <w:dstrike w:val="false"/>
                <w:outline w:val="false"/>
                <w:shadow w:val="false"/>
                <w:color w:val="000000"/>
                <w:sz w:val="24"/>
                <w:szCs w:val="24"/>
                <w:u w:val="none"/>
              </w:rPr>
            </w:pPr>
            <w:r>
              <w:rPr>
                <w:rFonts w:eastAsia="Arial" w:cs="Arial" w:ascii="Liberation Sans" w:hAnsi="Liberation Sans"/>
                <w:b w:val="false"/>
                <w:bCs w:val="false"/>
                <w:i w:val="false"/>
                <w:iCs w:val="false"/>
                <w:strike w:val="false"/>
                <w:dstrike w:val="false"/>
                <w:outline w:val="false"/>
                <w:shadow w:val="false"/>
                <w:color w:val="000000"/>
                <w:sz w:val="24"/>
                <w:szCs w:val="24"/>
                <w:u w:val="none"/>
              </w:rPr>
            </w:r>
          </w:p>
        </w:tc>
        <w:tc>
          <w:tcPr>
            <w:tcW w:w="2282" w:type="dxa"/>
            <w:tcBorders>
              <w:end w:val="single" w:sz="6" w:space="0" w:color="00599D"/>
            </w:tcBorders>
            <w:shd w:fill="DDDDDD" w:val="clear"/>
          </w:tcPr>
          <w:p>
            <w:pPr>
              <w:pStyle w:val="TableContents"/>
              <w:jc w:val="end"/>
              <w:rPr>
                <w:rFonts w:ascii="Liberation Sans" w:hAnsi="Liberation Sans"/>
                <w:b w:val="false"/>
                <w:bCs w:val="false"/>
                <w:i w:val="false"/>
                <w:iCs w:val="false"/>
                <w:strike w:val="false"/>
                <w:dstrike w:val="false"/>
                <w:outline w:val="false"/>
                <w:shadow w:val="false"/>
                <w:color w:val="000000"/>
                <w:sz w:val="24"/>
                <w:szCs w:val="24"/>
                <w:u w:val="none"/>
              </w:rPr>
            </w:pPr>
            <w:r>
              <w:rPr>
                <w:rFonts w:ascii="Liberation Sans" w:hAnsi="Liberation Sans"/>
                <w:b w:val="false"/>
                <w:bCs w:val="false"/>
                <w:i w:val="false"/>
                <w:iCs w:val="false"/>
                <w:strike w:val="false"/>
                <w:dstrike w:val="false"/>
                <w:outline w:val="false"/>
                <w:shadow w:val="false"/>
                <w:color w:val="000000"/>
                <w:sz w:val="24"/>
                <w:szCs w:val="24"/>
                <w:u w:val="none"/>
              </w:rPr>
            </w:r>
          </w:p>
        </w:tc>
      </w:tr>
      <w:tr>
        <w:trPr/>
        <w:tc>
          <w:tcPr>
            <w:tcW w:w="7824" w:type="dxa"/>
            <w:tcBorders>
              <w:start w:val="single" w:sz="6" w:space="0" w:color="00599D"/>
            </w:tcBorders>
          </w:tcPr>
          <w:p>
            <w:pPr>
              <w:pStyle w:val="Normal"/>
              <w:jc w:val="start"/>
              <w:rPr>
                <w:rFonts w:ascii="Liberation Sans" w:hAnsi="Liberation Sans" w:eastAsia="Arial" w:cs="Arial"/>
                <w:b w:val="false"/>
                <w:bCs w:val="false"/>
                <w:i w:val="false"/>
                <w:iCs w:val="false"/>
                <w:strike w:val="false"/>
                <w:dstrike w:val="false"/>
                <w:outline w:val="false"/>
                <w:shadow w:val="false"/>
                <w:color w:val="000000"/>
                <w:sz w:val="24"/>
                <w:szCs w:val="24"/>
                <w:u w:val="none"/>
              </w:rPr>
            </w:pPr>
            <w:r>
              <w:rPr>
                <w:rFonts w:eastAsia="Arial" w:cs="Arial" w:ascii="Liberation Sans" w:hAnsi="Liberation Sans"/>
                <w:b w:val="false"/>
                <w:bCs w:val="false"/>
                <w:i w:val="false"/>
                <w:iCs w:val="false"/>
                <w:strike w:val="false"/>
                <w:dstrike w:val="false"/>
                <w:outline w:val="false"/>
                <w:shadow w:val="false"/>
                <w:color w:val="000000"/>
                <w:sz w:val="24"/>
                <w:szCs w:val="24"/>
                <w:u w:val="none"/>
              </w:rPr>
              <w:t>Pay</w:t>
            </w:r>
            <w:r>
              <w:rPr>
                <w:rFonts w:eastAsia="Arial" w:cs="Arial" w:ascii="Liberation Sans" w:hAnsi="Liberation Sans"/>
                <w:b w:val="false"/>
                <w:bCs w:val="false"/>
                <w:i w:val="false"/>
                <w:iCs w:val="false"/>
                <w:strike w:val="false"/>
                <w:dstrike w:val="false"/>
                <w:outline w:val="false"/>
                <w:shadow w:val="false"/>
                <w:color w:val="000000"/>
                <w:sz w:val="24"/>
                <w:szCs w:val="24"/>
                <w:u w:val="none"/>
              </w:rPr>
              <w:t>able</w:t>
            </w:r>
            <w:r>
              <w:rPr>
                <w:rFonts w:eastAsia="Arial" w:cs="Arial" w:ascii="Liberation Sans" w:hAnsi="Liberation Sans"/>
                <w:b w:val="false"/>
                <w:bCs w:val="false"/>
                <w:i w:val="false"/>
                <w:iCs w:val="false"/>
                <w:strike w:val="false"/>
                <w:dstrike w:val="false"/>
                <w:outline w:val="false"/>
                <w:shadow w:val="false"/>
                <w:color w:val="000000"/>
                <w:sz w:val="24"/>
                <w:szCs w:val="24"/>
                <w:u w:val="none"/>
              </w:rPr>
              <w:t xml:space="preserve"> in four instalments. Instalment one is due immediately. </w:t>
            </w:r>
          </w:p>
        </w:tc>
        <w:tc>
          <w:tcPr>
            <w:tcW w:w="2282" w:type="dxa"/>
            <w:tcBorders>
              <w:end w:val="single" w:sz="6" w:space="0" w:color="00599D"/>
            </w:tcBorders>
          </w:tcPr>
          <w:p>
            <w:pPr>
              <w:pStyle w:val="TableContents"/>
              <w:jc w:val="end"/>
              <w:rPr>
                <w:rFonts w:ascii="Liberation Sans" w:hAnsi="Liberation Sans"/>
                <w:b w:val="false"/>
                <w:bCs w:val="false"/>
                <w:i w:val="false"/>
                <w:iCs w:val="false"/>
                <w:strike w:val="false"/>
                <w:dstrike w:val="false"/>
                <w:outline w:val="false"/>
                <w:shadow w:val="false"/>
                <w:color w:val="000000"/>
                <w:sz w:val="24"/>
                <w:szCs w:val="24"/>
                <w:u w:val="none"/>
              </w:rPr>
            </w:pPr>
            <w:r>
              <w:rPr>
                <w:rFonts w:ascii="Liberation Sans" w:hAnsi="Liberation Sans"/>
                <w:b w:val="false"/>
                <w:bCs w:val="false"/>
                <w:i w:val="false"/>
                <w:iCs w:val="false"/>
                <w:strike w:val="false"/>
                <w:dstrike w:val="false"/>
                <w:outline w:val="false"/>
                <w:shadow w:val="false"/>
                <w:color w:val="000000"/>
                <w:sz w:val="24"/>
                <w:szCs w:val="24"/>
                <w:u w:val="none"/>
              </w:rPr>
              <w:t>£1,976.02</w:t>
            </w:r>
          </w:p>
        </w:tc>
      </w:tr>
      <w:tr>
        <w:trPr/>
        <w:tc>
          <w:tcPr>
            <w:tcW w:w="7824" w:type="dxa"/>
            <w:tcBorders>
              <w:top w:val="single" w:sz="6" w:space="0" w:color="00599D"/>
              <w:start w:val="single" w:sz="6" w:space="0" w:color="00599D"/>
              <w:bottom w:val="single" w:sz="6" w:space="0" w:color="00599D"/>
            </w:tcBorders>
            <w:shd w:fill="ADC5E7" w:val="clear"/>
          </w:tcPr>
          <w:p>
            <w:pPr>
              <w:pStyle w:val="Normal"/>
              <w:jc w:val="start"/>
              <w:rPr>
                <w:rFonts w:ascii="Liberation Sans" w:hAnsi="Liberation Sans" w:eastAsia="Arial" w:cs="Arial"/>
                <w:b w:val="false"/>
                <w:bCs w:val="false"/>
                <w:i w:val="false"/>
                <w:iCs w:val="false"/>
                <w:strike w:val="false"/>
                <w:dstrike w:val="false"/>
                <w:outline w:val="false"/>
                <w:shadow w:val="false"/>
                <w:color w:val="000000"/>
                <w:sz w:val="24"/>
                <w:szCs w:val="24"/>
                <w:u w:val="none"/>
              </w:rPr>
            </w:pPr>
            <w:r>
              <w:rPr>
                <w:rFonts w:eastAsia="Arial" w:cs="Arial" w:ascii="Liberation Sans" w:hAnsi="Liberation Sans"/>
                <w:b w:val="false"/>
                <w:bCs w:val="false"/>
                <w:i w:val="false"/>
                <w:iCs w:val="false"/>
                <w:strike w:val="false"/>
                <w:dstrike w:val="false"/>
                <w:outline w:val="false"/>
                <w:shadow w:val="false"/>
                <w:color w:val="000000"/>
                <w:sz w:val="24"/>
                <w:szCs w:val="24"/>
                <w:u w:val="none"/>
              </w:rPr>
              <w:t xml:space="preserve">Remaining instalments due in July, October and January </w:t>
            </w:r>
            <w:r>
              <w:rPr>
                <w:rFonts w:eastAsia="Arial" w:cs="Arial" w:ascii="Liberation Sans" w:hAnsi="Liberation Sans"/>
                <w:b w:val="false"/>
                <w:bCs w:val="false"/>
                <w:i w:val="false"/>
                <w:iCs w:val="false"/>
                <w:strike w:val="false"/>
                <w:dstrike w:val="false"/>
                <w:outline w:val="false"/>
                <w:shadow w:val="false"/>
                <w:color w:val="000000"/>
                <w:sz w:val="24"/>
                <w:szCs w:val="24"/>
                <w:u w:val="none"/>
              </w:rPr>
              <w:t>each of:</w:t>
            </w:r>
          </w:p>
        </w:tc>
        <w:tc>
          <w:tcPr>
            <w:tcW w:w="2282" w:type="dxa"/>
            <w:tcBorders>
              <w:top w:val="single" w:sz="6" w:space="0" w:color="00599D"/>
              <w:bottom w:val="single" w:sz="6" w:space="0" w:color="00599D"/>
              <w:end w:val="single" w:sz="6" w:space="0" w:color="00599D"/>
            </w:tcBorders>
            <w:shd w:fill="ADC5E7" w:val="clear"/>
          </w:tcPr>
          <w:p>
            <w:pPr>
              <w:pStyle w:val="TableContents"/>
              <w:jc w:val="end"/>
              <w:rPr>
                <w:rFonts w:ascii="Liberation Sans" w:hAnsi="Liberation Sans"/>
                <w:b w:val="false"/>
                <w:bCs w:val="false"/>
                <w:i w:val="false"/>
                <w:iCs w:val="false"/>
                <w:strike w:val="false"/>
                <w:dstrike w:val="false"/>
                <w:outline w:val="false"/>
                <w:shadow w:val="false"/>
                <w:color w:val="000000"/>
                <w:sz w:val="24"/>
                <w:szCs w:val="24"/>
                <w:u w:val="none"/>
              </w:rPr>
            </w:pPr>
            <w:r>
              <w:rPr>
                <w:rFonts w:ascii="Liberation Sans" w:hAnsi="Liberation Sans"/>
                <w:b w:val="false"/>
                <w:bCs w:val="false"/>
                <w:i w:val="false"/>
                <w:iCs w:val="false"/>
                <w:strike w:val="false"/>
                <w:dstrike w:val="false"/>
                <w:outline w:val="false"/>
                <w:shadow w:val="false"/>
                <w:color w:val="000000"/>
                <w:sz w:val="24"/>
                <w:szCs w:val="24"/>
                <w:u w:val="none"/>
              </w:rPr>
              <w:t>£1,976.02</w:t>
            </w:r>
          </w:p>
          <w:p>
            <w:pPr>
              <w:pStyle w:val="TableContents"/>
              <w:jc w:val="end"/>
              <w:rPr>
                <w:rFonts w:ascii="Liberation Sans" w:hAnsi="Liberation Sans"/>
                <w:b w:val="false"/>
                <w:bCs w:val="false"/>
                <w:i w:val="false"/>
                <w:iCs w:val="false"/>
                <w:strike w:val="false"/>
                <w:dstrike w:val="false"/>
                <w:outline w:val="false"/>
                <w:shadow w:val="false"/>
                <w:color w:val="000000"/>
                <w:sz w:val="24"/>
                <w:szCs w:val="24"/>
                <w:u w:val="none"/>
              </w:rPr>
            </w:pPr>
            <w:r>
              <w:rPr>
                <w:rFonts w:ascii="Liberation Sans" w:hAnsi="Liberation Sans"/>
                <w:b w:val="false"/>
                <w:bCs w:val="false"/>
                <w:i w:val="false"/>
                <w:iCs w:val="false"/>
                <w:strike w:val="false"/>
                <w:dstrike w:val="false"/>
                <w:outline w:val="false"/>
                <w:shadow w:val="false"/>
                <w:color w:val="000000"/>
                <w:sz w:val="24"/>
                <w:szCs w:val="24"/>
                <w:u w:val="none"/>
              </w:rPr>
            </w:r>
          </w:p>
        </w:tc>
      </w:tr>
    </w:tbl>
    <w:p>
      <w:pPr>
        <w:pStyle w:val="Normal"/>
        <w:jc w:val="start"/>
        <w:rPr>
          <w:rFonts w:eastAsia="Arial" w:cs="Arial"/>
          <w:i/>
          <w:iCs/>
          <w:color w:val="888888"/>
          <w:sz w:val="18"/>
          <w:szCs w:val="18"/>
        </w:rPr>
      </w:pPr>
      <w:r>
        <w:rPr>
          <w:rFonts w:eastAsia="Arial" w:cs="Arial"/>
          <w:i/>
          <w:iCs/>
          <w:color w:val="888888"/>
          <w:sz w:val="18"/>
          <w:szCs w:val="18"/>
        </w:rPr>
      </w:r>
    </w:p>
    <w:p>
      <w:pPr>
        <w:pStyle w:val="Normal"/>
        <w:jc w:val="end"/>
        <w:rPr>
          <w:rFonts w:eastAsia="Arial" w:cs="Arial"/>
          <w:i/>
          <w:iCs/>
          <w:color w:val="888888"/>
          <w:sz w:val="18"/>
          <w:szCs w:val="18"/>
        </w:rPr>
      </w:pPr>
      <w:r>
        <w:rPr>
          <w:rFonts w:eastAsia="Arial" w:cs="Arial"/>
          <w:i/>
          <w:iCs/>
          <w:color w:val="888888"/>
          <w:sz w:val="18"/>
          <w:szCs w:val="18"/>
        </w:rPr>
      </w:r>
    </w:p>
    <w:p>
      <w:pPr>
        <w:pStyle w:val="Normal"/>
        <w:jc w:val="end"/>
        <w:rPr>
          <w:rFonts w:eastAsia="Arial" w:cs="Arial"/>
          <w:i/>
          <w:iCs/>
          <w:color w:val="888888"/>
          <w:sz w:val="18"/>
          <w:szCs w:val="18"/>
        </w:rPr>
      </w:pPr>
      <w:r>
        <w:rPr>
          <w:rFonts w:eastAsia="Arial" w:cs="Arial"/>
          <w:i/>
          <w:iCs/>
          <w:color w:val="888888"/>
          <w:sz w:val="18"/>
          <w:szCs w:val="18"/>
        </w:rPr>
        <w:t>Presented to the Board: 31 March 2026</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900" w:right="900" w:gutter="0" w:header="708" w:top="900" w:footer="708" w:bottom="90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1" w:color="2E75B6"/>
      </w:pBdr>
      <w:jc w:val="center"/>
      <w:rPr/>
    </w:pPr>
    <w:r>
      <w:rPr>
        <w:rFonts w:eastAsia="Arial" w:cs="Arial"/>
        <w:i w:val="false"/>
        <w:iCs w:val="false"/>
        <w:color w:val="888888"/>
        <w:sz w:val="16"/>
        <w:szCs w:val="16"/>
      </w:rPr>
      <w:t xml:space="preserve">Page </w:t>
    </w:r>
    <w:r>
      <w:rPr>
        <w:rFonts w:eastAsia="Arial" w:cs="Arial"/>
        <w:i/>
        <w:iCs/>
        <w:color w:val="888888"/>
        <w:sz w:val="18"/>
        <w:szCs w:val="18"/>
      </w:rPr>
      <w:fldChar w:fldCharType="begin"/>
    </w:r>
    <w:r>
      <w:rPr>
        <w:rFonts w:eastAsia="Arial" w:cs="Arial"/>
        <w:i/>
        <w:iCs/>
        <w:color w:val="888888"/>
        <w:sz w:val="18"/>
        <w:szCs w:val="18"/>
      </w:rPr>
      <w:instrText xml:space="preserve"> PAGE </w:instrText>
    </w:r>
    <w:r>
      <w:rPr>
        <w:rFonts w:eastAsia="Arial" w:cs="Arial"/>
        <w:i/>
        <w:iCs/>
        <w:color w:val="888888"/>
        <w:sz w:val="18"/>
        <w:szCs w:val="18"/>
      </w:rPr>
      <w:fldChar w:fldCharType="separate"/>
    </w:r>
    <w:r>
      <w:rPr>
        <w:rFonts w:eastAsia="Arial" w:cs="Arial"/>
        <w:i/>
        <w:iCs/>
        <w:color w:val="888888"/>
        <w:sz w:val="18"/>
        <w:szCs w:val="18"/>
      </w:rPr>
      <w:t>1</w:t>
    </w:r>
    <w:r>
      <w:rPr>
        <w:rFonts w:eastAsia="Arial" w:cs="Arial"/>
        <w:i/>
        <w:iCs/>
        <w:color w:val="888888"/>
        <w:sz w:val="18"/>
        <w:szCs w:val="18"/>
      </w:rPr>
      <w:fldChar w:fldCharType="end"/>
    </w:r>
    <w:r>
      <w:rPr>
        <w:rFonts w:eastAsia="Arial" w:cs="Arial"/>
        <w:i w:val="false"/>
        <w:iCs w:val="false"/>
        <w:color w:val="888888"/>
        <w:sz w:val="16"/>
        <w:szCs w:val="16"/>
      </w:rPr>
      <w:t xml:space="preserve"> of </w:t>
    </w:r>
    <w:r>
      <w:rPr>
        <w:rFonts w:eastAsia="Arial" w:cs="Arial"/>
        <w:i/>
        <w:iCs/>
        <w:color w:val="888888"/>
        <w:sz w:val="18"/>
        <w:szCs w:val="18"/>
      </w:rPr>
      <w:fldChar w:fldCharType="begin"/>
    </w:r>
    <w:r>
      <w:rPr>
        <w:rFonts w:eastAsia="Arial" w:cs="Arial"/>
        <w:i/>
        <w:iCs/>
        <w:color w:val="888888"/>
        <w:sz w:val="18"/>
        <w:szCs w:val="18"/>
      </w:rPr>
      <w:instrText xml:space="preserve"> NUMPAGES </w:instrText>
    </w:r>
    <w:r>
      <w:rPr>
        <w:rFonts w:eastAsia="Arial" w:cs="Arial"/>
        <w:i/>
        <w:iCs/>
        <w:color w:val="888888"/>
        <w:sz w:val="18"/>
        <w:szCs w:val="18"/>
      </w:rPr>
      <w:fldChar w:fldCharType="separate"/>
    </w:r>
    <w:r>
      <w:rPr>
        <w:rFonts w:eastAsia="Arial" w:cs="Arial"/>
        <w:i/>
        <w:iCs/>
        <w:color w:val="888888"/>
        <w:sz w:val="18"/>
        <w:szCs w:val="18"/>
      </w:rPr>
      <w:t>2</w:t>
    </w:r>
    <w:r>
      <w:rPr>
        <w:rFonts w:eastAsia="Arial" w:cs="Arial"/>
        <w:i/>
        <w:iCs/>
        <w:color w:val="888888"/>
        <w:sz w:val="18"/>
        <w:szCs w:val="18"/>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1" w:color="2E75B6"/>
      </w:pBdr>
      <w:jc w:val="center"/>
      <w:rPr/>
    </w:pPr>
    <w:r>
      <w:rPr>
        <w:rFonts w:eastAsia="Arial" w:cs="Arial"/>
        <w:i w:val="false"/>
        <w:iCs w:val="false"/>
        <w:color w:val="888888"/>
        <w:sz w:val="16"/>
        <w:szCs w:val="16"/>
      </w:rPr>
      <w:t xml:space="preserve">Page </w:t>
    </w:r>
    <w:r>
      <w:rPr>
        <w:rFonts w:eastAsia="Arial" w:cs="Arial"/>
        <w:i/>
        <w:iCs/>
        <w:color w:val="888888"/>
        <w:sz w:val="18"/>
        <w:szCs w:val="18"/>
      </w:rPr>
      <w:fldChar w:fldCharType="begin"/>
    </w:r>
    <w:r>
      <w:rPr>
        <w:rFonts w:eastAsia="Arial" w:cs="Arial"/>
        <w:i/>
        <w:iCs/>
        <w:color w:val="888888"/>
        <w:sz w:val="18"/>
        <w:szCs w:val="18"/>
      </w:rPr>
      <w:instrText xml:space="preserve"> PAGE </w:instrText>
    </w:r>
    <w:r>
      <w:rPr>
        <w:rFonts w:eastAsia="Arial" w:cs="Arial"/>
        <w:i/>
        <w:iCs/>
        <w:color w:val="888888"/>
        <w:sz w:val="18"/>
        <w:szCs w:val="18"/>
      </w:rPr>
      <w:fldChar w:fldCharType="separate"/>
    </w:r>
    <w:r>
      <w:rPr>
        <w:rFonts w:eastAsia="Arial" w:cs="Arial"/>
        <w:i/>
        <w:iCs/>
        <w:color w:val="888888"/>
        <w:sz w:val="18"/>
        <w:szCs w:val="18"/>
      </w:rPr>
      <w:t>1</w:t>
    </w:r>
    <w:r>
      <w:rPr>
        <w:rFonts w:eastAsia="Arial" w:cs="Arial"/>
        <w:i/>
        <w:iCs/>
        <w:color w:val="888888"/>
        <w:sz w:val="18"/>
        <w:szCs w:val="18"/>
      </w:rPr>
      <w:fldChar w:fldCharType="end"/>
    </w:r>
    <w:r>
      <w:rPr>
        <w:rFonts w:eastAsia="Arial" w:cs="Arial"/>
        <w:i w:val="false"/>
        <w:iCs w:val="false"/>
        <w:color w:val="888888"/>
        <w:sz w:val="16"/>
        <w:szCs w:val="16"/>
      </w:rPr>
      <w:t xml:space="preserve"> of </w:t>
    </w:r>
    <w:r>
      <w:rPr>
        <w:rFonts w:eastAsia="Arial" w:cs="Arial"/>
        <w:i/>
        <w:iCs/>
        <w:color w:val="888888"/>
        <w:sz w:val="18"/>
        <w:szCs w:val="18"/>
      </w:rPr>
      <w:fldChar w:fldCharType="begin"/>
    </w:r>
    <w:r>
      <w:rPr>
        <w:rFonts w:eastAsia="Arial" w:cs="Arial"/>
        <w:i/>
        <w:iCs/>
        <w:color w:val="888888"/>
        <w:sz w:val="18"/>
        <w:szCs w:val="18"/>
      </w:rPr>
      <w:instrText xml:space="preserve"> NUMPAGES </w:instrText>
    </w:r>
    <w:r>
      <w:rPr>
        <w:rFonts w:eastAsia="Arial" w:cs="Arial"/>
        <w:i/>
        <w:iCs/>
        <w:color w:val="888888"/>
        <w:sz w:val="18"/>
        <w:szCs w:val="18"/>
      </w:rPr>
      <w:fldChar w:fldCharType="separate"/>
    </w:r>
    <w:r>
      <w:rPr>
        <w:rFonts w:eastAsia="Arial" w:cs="Arial"/>
        <w:i/>
        <w:iCs/>
        <w:color w:val="888888"/>
        <w:sz w:val="18"/>
        <w:szCs w:val="18"/>
      </w:rPr>
      <w:t>2</w:t>
    </w:r>
    <w:r>
      <w:rPr>
        <w:rFonts w:eastAsia="Arial" w:cs="Arial"/>
        <w:i/>
        <w:iCs/>
        <w:color w:val="888888"/>
        <w:sz w:val="18"/>
        <w:szCs w:val="18"/>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4" w:space="1" w:color="2E75B6"/>
      </w:pBdr>
      <w:jc w:val="end"/>
      <w:rPr/>
    </w:pPr>
    <w:r>
      <w:rPr>
        <w:rFonts w:eastAsia="Arial" w:cs="Arial"/>
        <w:i w:val="false"/>
        <w:iCs w:val="false"/>
        <w:color w:val="666666"/>
        <w:sz w:val="16"/>
        <w:szCs w:val="16"/>
      </w:rPr>
      <w:t>WDCO Finance Report — Year Ending 31 March 2026</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bottom w:val="single" w:sz="4" w:space="1" w:color="2E75B6"/>
      </w:pBdr>
      <w:jc w:val="end"/>
      <w:rPr/>
    </w:pPr>
    <w:r>
      <w:rPr>
        <w:rFonts w:eastAsia="Arial" w:cs="Arial"/>
        <w:i w:val="false"/>
        <w:iCs w:val="false"/>
        <w:color w:val="666666"/>
        <w:sz w:val="16"/>
        <w:szCs w:val="16"/>
      </w:rPr>
      <w:t>WDCO Finance Report — Year Ending 31 March 2026</w:t>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Arial" w:hAnsi="Arial" w:eastAsia="Arial" w:cs="Arial"/>
      <w:color w:val="auto"/>
      <w:kern w:val="0"/>
      <w:sz w:val="20"/>
      <w:szCs w:val="20"/>
      <w:lang w:val="en-GB" w:eastAsia="zh-CN" w:bidi="hi-IN"/>
    </w:rPr>
  </w:style>
  <w:style w:type="paragraph" w:styleId="Heading1">
    <w:name w:val="heading 1"/>
    <w:basedOn w:val="Heading"/>
    <w:qFormat/>
    <w:pPr/>
    <w:rPr>
      <w:color w:val="2E74B5"/>
      <w:sz w:val="32"/>
      <w:szCs w:val="32"/>
    </w:rPr>
  </w:style>
  <w:style w:type="paragraph" w:styleId="Heading2">
    <w:name w:val="heading 2"/>
    <w:basedOn w:val="Heading"/>
    <w:qFormat/>
    <w:pPr/>
    <w:rPr>
      <w:color w:val="2E74B5"/>
      <w:sz w:val="26"/>
      <w:szCs w:val="26"/>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user">
    <w:name w:val="Footnote Characters (user)"/>
    <w:uiPriority w:val="99"/>
    <w:semiHidden/>
    <w:unhideWhenUsed/>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character" w:styleId="EndnoteCharactersuser">
    <w:name w:val="Endnote Characters (user)"/>
    <w:uiPriority w:val="99"/>
    <w:semiHidden/>
    <w:unhideWhenUsed/>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EndnoteTextChar">
    <w:name w:val="Endnote Text Char"/>
    <w:link w:val="End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SC"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start"/>
    </w:pPr>
    <w:rPr>
      <w:rFonts w:ascii="Arial" w:hAnsi="Arial" w:eastAsia="Arial" w:cs="Arial"/>
      <w:b/>
      <w:bCs/>
      <w:color w:val="auto"/>
      <w:kern w:val="0"/>
      <w:sz w:val="20"/>
      <w:szCs w:val="20"/>
      <w:lang w:val="en-GB" w:eastAsia="zh-CN" w:bidi="hi-IN"/>
    </w:rPr>
  </w:style>
  <w:style w:type="paragraph" w:styleId="ListParagraph">
    <w:name w:val="List Paragraph"/>
    <w:qFormat/>
    <w:pPr>
      <w:widowControl/>
      <w:suppressAutoHyphens w:val="true"/>
      <w:bidi w:val="0"/>
      <w:spacing w:before="0" w:after="0"/>
      <w:jc w:val="start"/>
    </w:pPr>
    <w:rPr>
      <w:rFonts w:ascii="Arial" w:hAnsi="Arial" w:eastAsia="Arial" w:cs="Arial"/>
      <w:color w:val="auto"/>
      <w:kern w:val="0"/>
      <w:sz w:val="20"/>
      <w:szCs w:val="20"/>
      <w:lang w:val="en-GB"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EndnoteText">
    <w:name w:val="endnote text"/>
    <w:basedOn w:val="Normal"/>
    <w:link w:val="EndnoteTextChar"/>
    <w:uiPriority w:val="99"/>
    <w:semiHidden/>
    <w:unhideWhenUsed/>
    <w:pPr>
      <w:spacing w:lineRule="auto" w:line="240" w:before="0" w:after="0"/>
    </w:pPr>
    <w:rPr>
      <w:sz w:val="20"/>
      <w:szCs w:val="20"/>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LibreOffice/25.8.5.2$Windows_X86_64 LibreOffice_project/9c8b85f387cc00a89945a79c9e6239f32e450ac2</Application>
  <AppVersion>15.0000</AppVersion>
  <Pages>2</Pages>
  <Words>685</Words>
  <Characters>3954</Characters>
  <CharactersWithSpaces>4508</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2026-04-14T21:09:59Z</dcterms:created>
  <dc:creator>Un-named</dc:creator>
  <dc:description/>
  <dc:language>en-GB</dc:language>
  <cp:lastModifiedBy/>
  <cp:lastPrinted>2026-04-16T13:46:54Z</cp:lastPrinted>
  <dcterms:modified xsi:type="dcterms:W3CDTF">2026-04-17T15:21:58Z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