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eading1"/>
        <w:bidi w:val="0"/>
        <w:spacing w:before="240" w:after="120"/>
        <w:jc w:val="start"/>
        <w:rPr/>
      </w:pPr>
      <w:r>
        <w:rPr/>
        <w:t>WDCO: Building Institutional Maturity</w:t>
      </w:r>
    </w:p>
    <w:p>
      <w:pPr>
        <w:pStyle w:val="Heading2"/>
        <w:bidi w:val="0"/>
        <w:jc w:val="start"/>
        <w:rPr/>
      </w:pPr>
      <w:r>
        <w:rPr/>
        <w:t>Briefing for Gareth Crawford | December 17th, 2025</w:t>
      </w:r>
    </w:p>
    <w:p>
      <w:pPr>
        <w:pStyle w:val="HorizontalLine"/>
        <w:bidi w:val="0"/>
        <w:jc w:val="start"/>
        <w:rPr/>
      </w:pPr>
      <w:r>
        <w:rPr/>
      </w:r>
    </w:p>
    <w:p>
      <w:pPr>
        <w:pStyle w:val="Heading2"/>
        <w:bidi w:val="0"/>
        <w:jc w:val="start"/>
        <w:rPr/>
      </w:pPr>
      <w:r>
        <w:rPr/>
        <w:t>The Direction</w:t>
      </w:r>
    </w:p>
    <w:p>
      <w:pPr>
        <w:pStyle w:val="BodyText"/>
        <w:bidi w:val="0"/>
        <w:jc w:val="start"/>
        <w:rPr/>
      </w:pPr>
      <w:r>
        <w:rPr/>
        <w:t xml:space="preserve">Over the past six months, WDCO has strengthened as a working unit. We're now positioned to shift from a reactive model—responding to problems as they arise—to a </w:t>
      </w:r>
      <w:r>
        <w:rPr>
          <w:rStyle w:val="Strong"/>
        </w:rPr>
        <w:t>proactive strategic role</w:t>
      </w:r>
      <w:r>
        <w:rPr/>
        <w:t>: identifying priorities, developing evidence-based proposals, and genuinely partnering with Hackney, NHG, and Berkeley on estate decisions.</w:t>
      </w:r>
    </w:p>
    <w:p>
      <w:pPr>
        <w:pStyle w:val="BodyText"/>
        <w:bidi w:val="0"/>
        <w:jc w:val="start"/>
        <w:rPr/>
      </w:pPr>
      <w:r>
        <w:rPr/>
        <w:t xml:space="preserve">This is </w:t>
      </w:r>
      <w:r>
        <w:rPr/>
        <w:t>a vision of</w:t>
      </w:r>
      <w:r>
        <w:rPr/>
        <w:t xml:space="preserve"> </w:t>
      </w:r>
      <w:r>
        <w:rPr/>
        <w:t xml:space="preserve">an </w:t>
      </w:r>
      <w:r>
        <w:rPr>
          <w:rStyle w:val="Strong"/>
        </w:rPr>
        <w:t>Active Community Advocate &amp; Agent</w:t>
      </w:r>
      <w:r>
        <w:rPr/>
        <w:t>. It's ambitious.</w:t>
      </w:r>
    </w:p>
    <w:p>
      <w:pPr>
        <w:pStyle w:val="HorizontalLine"/>
        <w:bidi w:val="0"/>
        <w:jc w:val="start"/>
        <w:rPr/>
      </w:pPr>
      <w:r>
        <w:rPr/>
      </w:r>
    </w:p>
    <w:p>
      <w:pPr>
        <w:pStyle w:val="Heading2"/>
        <w:bidi w:val="0"/>
        <w:jc w:val="start"/>
        <w:rPr/>
      </w:pPr>
      <w:r>
        <w:rPr/>
        <w:t>What We Need</w:t>
      </w:r>
    </w:p>
    <w:p>
      <w:pPr>
        <w:pStyle w:val="BodyText"/>
        <w:bidi w:val="0"/>
        <w:jc w:val="start"/>
        <w:rPr/>
      </w:pPr>
      <w:r>
        <w:rPr>
          <w:rStyle w:val="Strong"/>
        </w:rPr>
        <w:t>1. Legal Structure: Company Limited by Guarantee (CLG)</w:t>
      </w:r>
    </w:p>
    <w:p>
      <w:pPr>
        <w:pStyle w:val="BodyText"/>
        <w:bidi w:val="0"/>
        <w:jc w:val="start"/>
        <w:rPr/>
      </w:pPr>
      <w:r>
        <w:rPr/>
        <w:t>Currently unincorporated, we face real risks: board members are personally liable for lease obligations (WDCO offices) and fund-holding (Culture Club). More importantly, funders strongly prefer formally constituted bodies.</w:t>
      </w:r>
    </w:p>
    <w:p>
      <w:pPr>
        <w:pStyle w:val="BodyText"/>
        <w:bidi w:val="0"/>
        <w:jc w:val="start"/>
        <w:rPr/>
      </w:pPr>
      <w:r>
        <w:rPr/>
        <w:t>A CLG will:</w:t>
      </w:r>
    </w:p>
    <w:p>
      <w:pPr>
        <w:pStyle w:val="BodyText"/>
        <w:numPr>
          <w:ilvl w:val="0"/>
          <w:numId w:val="1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Protect board members' personal liability </w:t>
      </w:r>
    </w:p>
    <w:p>
      <w:pPr>
        <w:pStyle w:val="BodyText"/>
        <w:numPr>
          <w:ilvl w:val="0"/>
          <w:numId w:val="1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Signal institutional credibility to partners and funders </w:t>
      </w:r>
    </w:p>
    <w:p>
      <w:pPr>
        <w:pStyle w:val="BodyText"/>
        <w:numPr>
          <w:ilvl w:val="0"/>
          <w:numId w:val="1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Enable us to hold funds and enter into commitments safely </w:t>
      </w:r>
    </w:p>
    <w:p>
      <w:pPr>
        <w:pStyle w:val="BodyText"/>
        <w:numPr>
          <w:ilvl w:val="0"/>
          <w:numId w:val="1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 xml:space="preserve">Cost money upfront (professional advice needed on incorporation) </w:t>
      </w:r>
    </w:p>
    <w:p>
      <w:pPr>
        <w:pStyle w:val="BodyText"/>
        <w:bidi w:val="0"/>
        <w:jc w:val="start"/>
        <w:rPr/>
      </w:pPr>
      <w:r>
        <w:rPr>
          <w:rStyle w:val="Strong"/>
        </w:rPr>
        <w:t>2. Professional Capacity: Part-time Programme Manager (0.5 FTE)</w:t>
      </w:r>
    </w:p>
    <w:p>
      <w:pPr>
        <w:pStyle w:val="BodyText"/>
        <w:bidi w:val="0"/>
        <w:jc w:val="start"/>
        <w:rPr/>
      </w:pPr>
      <w:r>
        <w:rPr/>
        <w:t>This vision</w:t>
      </w:r>
      <w:r>
        <w:rPr/>
        <w:t xml:space="preserve"> requires capacity we </w:t>
      </w:r>
      <w:r>
        <w:rPr/>
        <w:t>struggle to achieve</w:t>
      </w:r>
      <w:r>
        <w:rPr/>
        <w:t>: strategic analysis, evidence-based proposal development, professional-quality communication, and skilled partnership management. This can't be delivered by volunteers alone.</w:t>
      </w:r>
    </w:p>
    <w:p>
      <w:pPr>
        <w:pStyle w:val="BodyText"/>
        <w:bidi w:val="0"/>
        <w:jc w:val="start"/>
        <w:rPr/>
      </w:pPr>
      <w:r>
        <w:rPr/>
        <w:t>A part-time programme manager will:</w:t>
      </w:r>
    </w:p>
    <w:p>
      <w:pPr>
        <w:pStyle w:val="BodyText"/>
        <w:numPr>
          <w:ilvl w:val="0"/>
          <w:numId w:val="2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Drive strategic engagement with partners </w:t>
      </w:r>
    </w:p>
    <w:p>
      <w:pPr>
        <w:pStyle w:val="BodyText"/>
        <w:numPr>
          <w:ilvl w:val="0"/>
          <w:numId w:val="2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Manage projects and track outcomes </w:t>
      </w:r>
    </w:p>
    <w:p>
      <w:pPr>
        <w:pStyle w:val="BodyText"/>
        <w:numPr>
          <w:ilvl w:val="0"/>
          <w:numId w:val="2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/>
        <w:t xml:space="preserve">Free board members to focus on governance, not administration </w:t>
      </w:r>
    </w:p>
    <w:p>
      <w:pPr>
        <w:pStyle w:val="BodyText"/>
        <w:numPr>
          <w:ilvl w:val="0"/>
          <w:numId w:val="2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 xml:space="preserve">Build institutional memory and continuity </w:t>
      </w:r>
    </w:p>
    <w:p>
      <w:pPr>
        <w:pStyle w:val="HorizontalLine"/>
        <w:bidi w:val="0"/>
        <w:jc w:val="start"/>
        <w:rPr/>
      </w:pPr>
      <w:r>
        <w:rPr/>
      </w:r>
    </w:p>
    <w:p>
      <w:pPr>
        <w:pStyle w:val="Heading2"/>
        <w:bidi w:val="0"/>
        <w:jc w:val="start"/>
        <w:rPr/>
      </w:pPr>
      <w:r>
        <w:rPr/>
        <w:t>What We're Asking</w:t>
      </w:r>
    </w:p>
    <w:p>
      <w:pPr>
        <w:pStyle w:val="BodyText"/>
        <w:bidi w:val="0"/>
        <w:jc w:val="start"/>
        <w:rPr/>
      </w:pPr>
      <w:r>
        <w:rPr/>
        <w:t>We'd value your advice on:</w:t>
      </w:r>
    </w:p>
    <w:p>
      <w:pPr>
        <w:pStyle w:val="BodyText"/>
        <w:numPr>
          <w:ilvl w:val="0"/>
          <w:numId w:val="3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Feasibility:</w:t>
      </w:r>
      <w:r>
        <w:rPr/>
        <w:t xml:space="preserve"> Does this direction align with what Hackney needs from WDCO? </w:t>
      </w:r>
    </w:p>
    <w:p>
      <w:pPr>
        <w:pStyle w:val="BodyText"/>
        <w:numPr>
          <w:ilvl w:val="0"/>
          <w:numId w:val="3"/>
        </w:numPr>
        <w:tabs>
          <w:tab w:val="clear" w:pos="709"/>
          <w:tab w:val="left" w:pos="709" w:leader="none"/>
        </w:tabs>
        <w:bidi w:val="0"/>
        <w:spacing w:before="0" w:after="0"/>
        <w:ind w:hanging="283" w:start="709"/>
        <w:jc w:val="start"/>
        <w:rPr/>
      </w:pPr>
      <w:r>
        <w:rPr>
          <w:rStyle w:val="Strong"/>
        </w:rPr>
        <w:t>Costs &amp; Timeline:</w:t>
      </w:r>
      <w:r>
        <w:rPr/>
        <w:t xml:space="preserve"> What's a realistic cost and timeline for CLG incorporation? What might part-time PM resourcing cost? </w:t>
      </w:r>
    </w:p>
    <w:p>
      <w:pPr>
        <w:pStyle w:val="BodyText"/>
        <w:numPr>
          <w:ilvl w:val="0"/>
          <w:numId w:val="3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>
          <w:rStyle w:val="Strong"/>
        </w:rPr>
        <w:t>Funding:</w:t>
      </w:r>
      <w:r>
        <w:rPr/>
        <w:t xml:space="preserve"> Where might we look for funding to support incorporation and the PM role? Are there Hackney-managed streams, or should we explore charitable trusts? </w:t>
      </w:r>
    </w:p>
    <w:p>
      <w:pPr>
        <w:pStyle w:val="HorizontalLine"/>
        <w:bidi w:val="0"/>
        <w:jc w:val="start"/>
        <w:rPr/>
      </w:pPr>
      <w:r>
        <w:rPr/>
      </w:r>
    </w:p>
    <w:p>
      <w:pPr>
        <w:pStyle w:val="Heading2"/>
        <w:bidi w:val="0"/>
        <w:jc w:val="start"/>
        <w:rPr/>
      </w:pPr>
      <w:r>
        <w:rPr/>
        <w:t>Why This Matters</w:t>
      </w:r>
    </w:p>
    <w:p>
      <w:pPr>
        <w:pStyle w:val="BodyText"/>
        <w:bidi w:val="0"/>
        <w:jc w:val="start"/>
        <w:rPr/>
      </w:pPr>
      <w:r>
        <w:rPr/>
        <w:t>This is about institutional maturity: building WDCO to work effectively regardless of who chairs it or which volunteers have capacity in any given year. It's not about replacing community leadership—it's about enabling it.</w:t>
      </w:r>
    </w:p>
    <w:p>
      <w:pPr>
        <w:pStyle w:val="Normal"/>
        <w:bidi w:val="0"/>
        <w:jc w:val="start"/>
        <w:rPr/>
      </w:pPr>
      <w:r>
        <w:rPr/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OpenSymbol">
    <w:altName w:val="Arial Unicode MS"/>
    <w:charset w:val="02"/>
    <w:family w:val="auto"/>
    <w:pitch w:val="default"/>
  </w:font>
  <w:font w:name="Liberation Sans">
    <w:altName w:val="Arial"/>
    <w:charset w:val="00" w:characterSet="windows-1252"/>
    <w:family w:val="swiss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3">
    <w:lvl w:ilvl="0">
      <w:start w:val="1"/>
      <w:numFmt w:val="decimal"/>
      <w:lvlText w:val="%1."/>
      <w:lvlJc w:val="start"/>
      <w:pPr>
        <w:tabs>
          <w:tab w:val="num" w:pos="709"/>
        </w:tabs>
        <w:ind w:start="709" w:hanging="283"/>
      </w:pPr>
      <w:rPr/>
    </w:lvl>
    <w:lvl w:ilvl="1">
      <w:start w:val="1"/>
      <w:numFmt w:val="decimal"/>
      <w:lvlText w:val="%2."/>
      <w:lvlJc w:val="start"/>
      <w:pPr>
        <w:tabs>
          <w:tab w:val="num" w:pos="1418"/>
        </w:tabs>
        <w:ind w:start="1418" w:hanging="283"/>
      </w:pPr>
      <w:rPr/>
    </w:lvl>
    <w:lvl w:ilvl="2">
      <w:start w:val="1"/>
      <w:numFmt w:val="decimal"/>
      <w:lvlText w:val="%3."/>
      <w:lvlJc w:val="start"/>
      <w:pPr>
        <w:tabs>
          <w:tab w:val="num" w:pos="2127"/>
        </w:tabs>
        <w:ind w:start="2127" w:hanging="283"/>
      </w:pPr>
      <w:rPr/>
    </w:lvl>
    <w:lvl w:ilvl="3">
      <w:start w:val="1"/>
      <w:numFmt w:val="decimal"/>
      <w:lvlText w:val="%4."/>
      <w:lvlJc w:val="start"/>
      <w:pPr>
        <w:tabs>
          <w:tab w:val="num" w:pos="2836"/>
        </w:tabs>
        <w:ind w:start="2836" w:hanging="283"/>
      </w:pPr>
      <w:rPr/>
    </w:lvl>
    <w:lvl w:ilvl="4">
      <w:start w:val="1"/>
      <w:numFmt w:val="decimal"/>
      <w:lvlText w:val="%5."/>
      <w:lvlJc w:val="start"/>
      <w:pPr>
        <w:tabs>
          <w:tab w:val="num" w:pos="3545"/>
        </w:tabs>
        <w:ind w:start="3545" w:hanging="283"/>
      </w:pPr>
      <w:rPr/>
    </w:lvl>
    <w:lvl w:ilvl="5">
      <w:start w:val="1"/>
      <w:numFmt w:val="decimal"/>
      <w:lvlText w:val="%6."/>
      <w:lvlJc w:val="start"/>
      <w:pPr>
        <w:tabs>
          <w:tab w:val="num" w:pos="4254"/>
        </w:tabs>
        <w:ind w:start="4254" w:hanging="283"/>
      </w:pPr>
      <w:rPr/>
    </w:lvl>
    <w:lvl w:ilvl="6">
      <w:start w:val="1"/>
      <w:numFmt w:val="decimal"/>
      <w:lvlText w:val="%7."/>
      <w:lvlJc w:val="start"/>
      <w:pPr>
        <w:tabs>
          <w:tab w:val="num" w:pos="4963"/>
        </w:tabs>
        <w:ind w:start="4963" w:hanging="283"/>
      </w:pPr>
      <w:rPr/>
    </w:lvl>
    <w:lvl w:ilvl="7">
      <w:start w:val="1"/>
      <w:numFmt w:val="decimal"/>
      <w:lvlText w:val="%8."/>
      <w:lvlJc w:val="start"/>
      <w:pPr>
        <w:tabs>
          <w:tab w:val="num" w:pos="5672"/>
        </w:tabs>
        <w:ind w:start="5672" w:hanging="283"/>
      </w:pPr>
      <w:rPr/>
    </w:lvl>
    <w:lvl w:ilvl="8">
      <w:start w:val="1"/>
      <w:numFmt w:val="decimal"/>
      <w:lvlText w:val="%9."/>
      <w:lvlJc w:val="start"/>
      <w:pPr>
        <w:tabs>
          <w:tab w:val="num" w:pos="6381"/>
        </w:tabs>
        <w:ind w:start="6381" w:hanging="283"/>
      </w:pPr>
      <w:rPr/>
    </w:lvl>
  </w:abstractNum>
  <w:abstractNum w:abstractNumId="4">
    <w:lvl w:ilvl="0">
      <w:start w:val="1"/>
      <w:pStyle w:val="Heading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pStyle w:val="Heading2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18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en-GB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SimSun" w:cs="Lucida Sans"/>
      <w:color w:val="auto"/>
      <w:kern w:val="2"/>
      <w:sz w:val="24"/>
      <w:szCs w:val="24"/>
      <w:lang w:val="en-GB" w:eastAsia="zh-CN" w:bidi="hi-IN"/>
    </w:rPr>
  </w:style>
  <w:style w:type="paragraph" w:styleId="Heading1">
    <w:name w:val="heading 1"/>
    <w:basedOn w:val="Heading"/>
    <w:next w:val="BodyText"/>
    <w:qFormat/>
    <w:pPr>
      <w:spacing w:before="240" w:after="120"/>
      <w:outlineLvl w:val="0"/>
    </w:pPr>
    <w:rPr>
      <w:rFonts w:ascii="Liberation Serif" w:hAnsi="Liberation Serif" w:eastAsia="NSimSun" w:cs="Lucida Sans"/>
      <w:b/>
      <w:bCs/>
      <w:sz w:val="48"/>
      <w:szCs w:val="48"/>
    </w:rPr>
  </w:style>
  <w:style w:type="paragraph" w:styleId="Heading2">
    <w:name w:val="heading 2"/>
    <w:basedOn w:val="Heading"/>
    <w:next w:val="BodyText"/>
    <w:qFormat/>
    <w:pPr>
      <w:spacing w:before="200" w:after="120"/>
      <w:outlineLvl w:val="1"/>
    </w:pPr>
    <w:rPr>
      <w:rFonts w:ascii="Liberation Serif" w:hAnsi="Liberation Serif" w:eastAsia="NSimSun" w:cs="Lucida Sans"/>
      <w:b/>
      <w:bCs/>
      <w:sz w:val="36"/>
      <w:szCs w:val="36"/>
    </w:rPr>
  </w:style>
  <w:style w:type="character" w:styleId="Strong">
    <w:name w:val="Strong"/>
    <w:qFormat/>
    <w:rPr>
      <w:b/>
      <w:bCs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NumberingSymbols">
    <w:name w:val="Numbering Symbols"/>
    <w:qFormat/>
    <w:rPr/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HorizontalLine">
    <w:name w:val="Horizontal Line"/>
    <w:basedOn w:val="Normal"/>
    <w:next w:val="BodyText"/>
    <w:qFormat/>
    <w:pPr>
      <w:suppressLineNumbers/>
      <w:pBdr>
        <w:bottom w:val="double" w:sz="2" w:space="0" w:color="808080"/>
      </w:pBdr>
      <w:spacing w:before="0" w:after="283"/>
    </w:pPr>
    <w:rPr>
      <w:sz w:val="12"/>
      <w:szCs w:val="12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11</TotalTime>
  <Application>LibreOffice/25.8.3.2$Windows_X86_64 LibreOffice_project/8ca8d55c161d602844f5428fa4b58097424e324e</Application>
  <AppVersion>15.0000</AppVersion>
  <Pages>2</Pages>
  <Words>319</Words>
  <Characters>1881</Characters>
  <CharactersWithSpaces>2170</CharactersWithSpaces>
  <Paragraphs>27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2025-12-14T20:58:24Z</dcterms:created>
  <dc:creator/>
  <dc:description/>
  <dc:language>en-GB</dc:language>
  <cp:lastModifiedBy/>
  <dcterms:modified xsi:type="dcterms:W3CDTF">2025-12-14T21:09:31Z</dcterms:modified>
  <cp:revision>1</cp:revision>
  <dc:subject/>
  <dc:title/>
</cp:coreProperties>
</file>